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9754D" w14:textId="77777777" w:rsidR="003F6CC8" w:rsidRDefault="003F6CC8"/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1843"/>
        <w:gridCol w:w="2268"/>
        <w:gridCol w:w="1418"/>
        <w:gridCol w:w="4111"/>
      </w:tblGrid>
      <w:tr w:rsidR="00E172C0" w14:paraId="2533C3DF" w14:textId="77777777" w:rsidTr="00BD7BC2">
        <w:trPr>
          <w:trHeight w:val="394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F037E" w14:textId="77777777" w:rsidR="00E172C0" w:rsidRDefault="00E172C0" w:rsidP="00D87552">
            <w:pPr>
              <w:jc w:val="center"/>
              <w:rPr>
                <w:b/>
                <w:sz w:val="28"/>
                <w:szCs w:val="28"/>
              </w:rPr>
            </w:pPr>
          </w:p>
          <w:p w14:paraId="6865D1F0" w14:textId="7E701EFD" w:rsidR="00E172C0" w:rsidRDefault="00843E9B" w:rsidP="00E172C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Credit</w:t>
            </w:r>
            <w:r w:rsidR="00026FE3">
              <w:rPr>
                <w:b/>
                <w:sz w:val="28"/>
                <w:szCs w:val="28"/>
              </w:rPr>
              <w:t xml:space="preserve"> Policy </w:t>
            </w:r>
          </w:p>
        </w:tc>
      </w:tr>
      <w:tr w:rsidR="002071D0" w14:paraId="71AAD98D" w14:textId="77777777" w:rsidTr="00BD7BC2"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EE1A20" w14:textId="77777777" w:rsidR="002071D0" w:rsidRDefault="002071D0" w:rsidP="00D87552">
            <w:r>
              <w:t>Questions regarding this policy should be directed to the Policy Administrator.</w:t>
            </w:r>
          </w:p>
          <w:p w14:paraId="426D2ED8" w14:textId="77777777" w:rsidR="002071D0" w:rsidRDefault="002071D0" w:rsidP="00D87552"/>
        </w:tc>
      </w:tr>
      <w:tr w:rsidR="002071D0" w14:paraId="54F48342" w14:textId="77777777" w:rsidTr="00BD7BC2">
        <w:trPr>
          <w:trHeight w:val="120"/>
        </w:trPr>
        <w:tc>
          <w:tcPr>
            <w:tcW w:w="1843" w:type="dxa"/>
            <w:tcBorders>
              <w:top w:val="nil"/>
            </w:tcBorders>
            <w:shd w:val="clear" w:color="auto" w:fill="1F3864" w:themeFill="accent5" w:themeFillShade="80"/>
          </w:tcPr>
          <w:p w14:paraId="4268E232" w14:textId="77777777" w:rsidR="002071D0" w:rsidRPr="00D87552" w:rsidRDefault="002071D0" w:rsidP="00D87552"/>
        </w:tc>
        <w:tc>
          <w:tcPr>
            <w:tcW w:w="2268" w:type="dxa"/>
            <w:tcBorders>
              <w:top w:val="nil"/>
            </w:tcBorders>
            <w:shd w:val="clear" w:color="auto" w:fill="1F3864" w:themeFill="accent5" w:themeFillShade="80"/>
          </w:tcPr>
          <w:p w14:paraId="4CBA6843" w14:textId="77777777" w:rsidR="002071D0" w:rsidRPr="00D87552" w:rsidRDefault="002071D0" w:rsidP="00D87552"/>
        </w:tc>
        <w:tc>
          <w:tcPr>
            <w:tcW w:w="1418" w:type="dxa"/>
            <w:tcBorders>
              <w:top w:val="nil"/>
            </w:tcBorders>
            <w:shd w:val="clear" w:color="auto" w:fill="1F3864" w:themeFill="accent5" w:themeFillShade="80"/>
          </w:tcPr>
          <w:p w14:paraId="263EB2D9" w14:textId="77777777" w:rsidR="002071D0" w:rsidRPr="00D87552" w:rsidRDefault="002071D0" w:rsidP="00D87552"/>
        </w:tc>
        <w:tc>
          <w:tcPr>
            <w:tcW w:w="4111" w:type="dxa"/>
            <w:tcBorders>
              <w:top w:val="nil"/>
            </w:tcBorders>
            <w:shd w:val="clear" w:color="auto" w:fill="1F3864" w:themeFill="accent5" w:themeFillShade="80"/>
          </w:tcPr>
          <w:p w14:paraId="4E6006DF" w14:textId="77777777" w:rsidR="002071D0" w:rsidRPr="00D87552" w:rsidRDefault="002071D0" w:rsidP="00D87552"/>
        </w:tc>
      </w:tr>
      <w:tr w:rsidR="002071D0" w14:paraId="61A99D55" w14:textId="77777777" w:rsidTr="00BD7BC2">
        <w:tc>
          <w:tcPr>
            <w:tcW w:w="1843" w:type="dxa"/>
            <w:shd w:val="clear" w:color="auto" w:fill="9CC2E5" w:themeFill="accent1" w:themeFillTint="99"/>
          </w:tcPr>
          <w:p w14:paraId="435C6A8B" w14:textId="77777777" w:rsidR="002071D0" w:rsidRDefault="002071D0" w:rsidP="00D87552">
            <w:r>
              <w:t>Effective Date:</w:t>
            </w:r>
          </w:p>
        </w:tc>
        <w:tc>
          <w:tcPr>
            <w:tcW w:w="2268" w:type="dxa"/>
          </w:tcPr>
          <w:p w14:paraId="4B704218" w14:textId="1B615893" w:rsidR="002071D0" w:rsidRDefault="00E25809" w:rsidP="00521AED">
            <w:r>
              <w:t>February 26, 2020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14:paraId="2CA46644" w14:textId="77777777" w:rsidR="002071D0" w:rsidRDefault="002071D0" w:rsidP="00521AED">
            <w:r>
              <w:t>Cross Reference:</w:t>
            </w:r>
          </w:p>
        </w:tc>
        <w:tc>
          <w:tcPr>
            <w:tcW w:w="4111" w:type="dxa"/>
          </w:tcPr>
          <w:p w14:paraId="34A78E22" w14:textId="1B0487E5" w:rsidR="000D395D" w:rsidRDefault="000D395D" w:rsidP="000D395D">
            <w:pPr>
              <w:pStyle w:val="ListParagraph"/>
              <w:ind w:left="269"/>
            </w:pPr>
            <w:r>
              <w:t>Alberta Credentials Framework</w:t>
            </w:r>
          </w:p>
          <w:p w14:paraId="17DE11FE" w14:textId="6649A935" w:rsidR="000D395D" w:rsidRDefault="000D395D" w:rsidP="000D395D">
            <w:pPr>
              <w:pStyle w:val="ListParagraph"/>
              <w:ind w:left="269"/>
            </w:pPr>
            <w:r>
              <w:t xml:space="preserve">Post-Secondary Learning Act </w:t>
            </w:r>
          </w:p>
          <w:p w14:paraId="39F4067C" w14:textId="71CB4DB0" w:rsidR="000D395D" w:rsidRDefault="000D395D" w:rsidP="000D395D">
            <w:pPr>
              <w:pStyle w:val="ListParagraph"/>
              <w:ind w:left="269"/>
            </w:pPr>
          </w:p>
        </w:tc>
      </w:tr>
      <w:tr w:rsidR="002071D0" w14:paraId="4E487898" w14:textId="77777777" w:rsidTr="00BD7BC2">
        <w:tc>
          <w:tcPr>
            <w:tcW w:w="1843" w:type="dxa"/>
            <w:shd w:val="clear" w:color="auto" w:fill="9CC2E5" w:themeFill="accent1" w:themeFillTint="99"/>
          </w:tcPr>
          <w:p w14:paraId="4305C15C" w14:textId="77777777" w:rsidR="002071D0" w:rsidRDefault="00AE7ABE" w:rsidP="00D87552">
            <w:r>
              <w:t>Policy Owner</w:t>
            </w:r>
            <w:r w:rsidR="002071D0">
              <w:t>:</w:t>
            </w:r>
          </w:p>
        </w:tc>
        <w:tc>
          <w:tcPr>
            <w:tcW w:w="2268" w:type="dxa"/>
          </w:tcPr>
          <w:p w14:paraId="4ED7CD73" w14:textId="2C238CFB" w:rsidR="002071D0" w:rsidRDefault="003E4006" w:rsidP="00D87552">
            <w:r>
              <w:t>VP Academics</w:t>
            </w:r>
          </w:p>
        </w:tc>
        <w:tc>
          <w:tcPr>
            <w:tcW w:w="1418" w:type="dxa"/>
            <w:vMerge w:val="restart"/>
            <w:shd w:val="clear" w:color="auto" w:fill="9CC2E5" w:themeFill="accent1" w:themeFillTint="99"/>
          </w:tcPr>
          <w:p w14:paraId="47F18540" w14:textId="77777777" w:rsidR="002071D0" w:rsidRDefault="002071D0" w:rsidP="00D87552">
            <w:r>
              <w:t>Appendices:</w:t>
            </w:r>
          </w:p>
        </w:tc>
        <w:tc>
          <w:tcPr>
            <w:tcW w:w="4111" w:type="dxa"/>
            <w:vMerge w:val="restart"/>
          </w:tcPr>
          <w:p w14:paraId="1791C53D" w14:textId="77777777" w:rsidR="002071D0" w:rsidRDefault="002071D0" w:rsidP="000D395D">
            <w:pPr>
              <w:pStyle w:val="ListParagraph"/>
              <w:ind w:left="269"/>
            </w:pPr>
          </w:p>
        </w:tc>
      </w:tr>
      <w:tr w:rsidR="00DE46F4" w14:paraId="421C32FB" w14:textId="77777777" w:rsidTr="00BD7BC2">
        <w:tc>
          <w:tcPr>
            <w:tcW w:w="1843" w:type="dxa"/>
            <w:shd w:val="clear" w:color="auto" w:fill="9CC2E5" w:themeFill="accent1" w:themeFillTint="99"/>
          </w:tcPr>
          <w:p w14:paraId="4D474B57" w14:textId="77777777" w:rsidR="00DE46F4" w:rsidRDefault="00DE46F4" w:rsidP="00D87552">
            <w:r>
              <w:t>Policy Administrator:</w:t>
            </w:r>
          </w:p>
        </w:tc>
        <w:tc>
          <w:tcPr>
            <w:tcW w:w="2268" w:type="dxa"/>
          </w:tcPr>
          <w:p w14:paraId="43222691" w14:textId="698D87CE" w:rsidR="00DE46F4" w:rsidRDefault="00B562EA" w:rsidP="00D87552">
            <w:r>
              <w:t xml:space="preserve">Office of the </w:t>
            </w:r>
            <w:r w:rsidR="003E4006">
              <w:t xml:space="preserve">Registrar </w:t>
            </w:r>
          </w:p>
        </w:tc>
        <w:tc>
          <w:tcPr>
            <w:tcW w:w="1418" w:type="dxa"/>
            <w:vMerge/>
            <w:shd w:val="clear" w:color="auto" w:fill="9CC2E5" w:themeFill="accent1" w:themeFillTint="99"/>
          </w:tcPr>
          <w:p w14:paraId="102E59FA" w14:textId="77777777" w:rsidR="00DE46F4" w:rsidRDefault="00DE46F4" w:rsidP="00D87552"/>
        </w:tc>
        <w:tc>
          <w:tcPr>
            <w:tcW w:w="4111" w:type="dxa"/>
            <w:vMerge/>
          </w:tcPr>
          <w:p w14:paraId="5D3E825E" w14:textId="77777777" w:rsidR="00DE46F4" w:rsidRDefault="00DE46F4" w:rsidP="0011498D">
            <w:pPr>
              <w:pStyle w:val="ListParagraph"/>
              <w:ind w:left="269"/>
            </w:pPr>
          </w:p>
        </w:tc>
      </w:tr>
      <w:tr w:rsidR="002071D0" w14:paraId="7729FCFF" w14:textId="77777777" w:rsidTr="00BD7BC2">
        <w:tc>
          <w:tcPr>
            <w:tcW w:w="1843" w:type="dxa"/>
            <w:shd w:val="clear" w:color="auto" w:fill="9CC2E5" w:themeFill="accent1" w:themeFillTint="99"/>
          </w:tcPr>
          <w:p w14:paraId="4EDC9110" w14:textId="77777777" w:rsidR="002071D0" w:rsidRDefault="002071D0" w:rsidP="00D87552">
            <w:r>
              <w:t>Approver:</w:t>
            </w:r>
          </w:p>
        </w:tc>
        <w:tc>
          <w:tcPr>
            <w:tcW w:w="2268" w:type="dxa"/>
          </w:tcPr>
          <w:p w14:paraId="7EB5F065" w14:textId="77777777" w:rsidR="002071D0" w:rsidRDefault="00923D72" w:rsidP="00D87552">
            <w:r>
              <w:t>Executive Committee</w:t>
            </w:r>
          </w:p>
        </w:tc>
        <w:tc>
          <w:tcPr>
            <w:tcW w:w="1418" w:type="dxa"/>
            <w:vMerge/>
            <w:shd w:val="clear" w:color="auto" w:fill="9CC2E5" w:themeFill="accent1" w:themeFillTint="99"/>
          </w:tcPr>
          <w:p w14:paraId="24D44DE0" w14:textId="77777777" w:rsidR="002071D0" w:rsidRDefault="002071D0" w:rsidP="00D87552"/>
        </w:tc>
        <w:tc>
          <w:tcPr>
            <w:tcW w:w="4111" w:type="dxa"/>
            <w:vMerge/>
          </w:tcPr>
          <w:p w14:paraId="7FBC5586" w14:textId="77777777" w:rsidR="002071D0" w:rsidRDefault="002071D0" w:rsidP="00D87552"/>
        </w:tc>
      </w:tr>
      <w:tr w:rsidR="002071D0" w14:paraId="6FE36248" w14:textId="77777777" w:rsidTr="00BD7BC2">
        <w:tc>
          <w:tcPr>
            <w:tcW w:w="1843" w:type="dxa"/>
            <w:shd w:val="clear" w:color="auto" w:fill="9CC2E5" w:themeFill="accent1" w:themeFillTint="99"/>
          </w:tcPr>
          <w:p w14:paraId="20DBC4A4" w14:textId="77777777" w:rsidR="002071D0" w:rsidRDefault="002071D0" w:rsidP="00D87552">
            <w:r>
              <w:t>Review Schedule:</w:t>
            </w:r>
          </w:p>
        </w:tc>
        <w:tc>
          <w:tcPr>
            <w:tcW w:w="2268" w:type="dxa"/>
          </w:tcPr>
          <w:p w14:paraId="2A1380C0" w14:textId="59F523A9" w:rsidR="002071D0" w:rsidRDefault="00BD7BC2" w:rsidP="00D87552">
            <w:r>
              <w:t xml:space="preserve">Every </w:t>
            </w:r>
            <w:r w:rsidR="002754D5">
              <w:t>5</w:t>
            </w:r>
            <w:r>
              <w:t xml:space="preserve"> Years</w:t>
            </w:r>
          </w:p>
        </w:tc>
        <w:tc>
          <w:tcPr>
            <w:tcW w:w="1418" w:type="dxa"/>
            <w:vMerge/>
            <w:shd w:val="clear" w:color="auto" w:fill="9CC2E5" w:themeFill="accent1" w:themeFillTint="99"/>
          </w:tcPr>
          <w:p w14:paraId="493F0FEE" w14:textId="77777777" w:rsidR="002071D0" w:rsidRDefault="002071D0" w:rsidP="00D87552"/>
        </w:tc>
        <w:tc>
          <w:tcPr>
            <w:tcW w:w="4111" w:type="dxa"/>
            <w:vMerge/>
          </w:tcPr>
          <w:p w14:paraId="1352F08F" w14:textId="77777777" w:rsidR="002071D0" w:rsidRDefault="002071D0" w:rsidP="00D87552"/>
        </w:tc>
      </w:tr>
    </w:tbl>
    <w:p w14:paraId="013E572D" w14:textId="77777777" w:rsidR="00D87552" w:rsidRDefault="00D87552" w:rsidP="00D87552"/>
    <w:p w14:paraId="4FA305EE" w14:textId="77777777" w:rsidR="00766273" w:rsidRPr="00907481" w:rsidRDefault="00565EEC" w:rsidP="009D64E6">
      <w:pPr>
        <w:tabs>
          <w:tab w:val="left" w:pos="426"/>
        </w:tabs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="00907481" w:rsidRPr="00907481">
        <w:rPr>
          <w:b/>
          <w:sz w:val="28"/>
          <w:szCs w:val="28"/>
        </w:rPr>
        <w:t>Policy Statement</w:t>
      </w:r>
    </w:p>
    <w:p w14:paraId="3C275839" w14:textId="10573A58" w:rsidR="009D64E6" w:rsidRDefault="00843E9B" w:rsidP="009D64E6">
      <w:pPr>
        <w:tabs>
          <w:tab w:val="left" w:pos="426"/>
        </w:tabs>
        <w:spacing w:after="0" w:line="240" w:lineRule="auto"/>
        <w:jc w:val="both"/>
      </w:pPr>
      <w:r>
        <w:t>Keyano College is committed to meeting provincial and collaborative institution standards as well as ensuring consistent determination, application and reporting of course credit</w:t>
      </w:r>
      <w:r w:rsidR="00710ED1">
        <w:t>s</w:t>
      </w:r>
      <w:r>
        <w:t xml:space="preserve">.   </w:t>
      </w:r>
      <w:r w:rsidR="007273B2">
        <w:t xml:space="preserve">Keyano College recognizes the need to be fair and equitable in the granting of credit for learning activity.  </w:t>
      </w:r>
    </w:p>
    <w:p w14:paraId="7D65EFF9" w14:textId="4AB41187" w:rsidR="007273B2" w:rsidRDefault="007273B2" w:rsidP="009D64E6">
      <w:pPr>
        <w:tabs>
          <w:tab w:val="left" w:pos="426"/>
        </w:tabs>
        <w:spacing w:after="0" w:line="240" w:lineRule="auto"/>
        <w:jc w:val="both"/>
      </w:pPr>
    </w:p>
    <w:p w14:paraId="79113B6F" w14:textId="19ABD6EE" w:rsidR="007273B2" w:rsidRDefault="007273B2" w:rsidP="009D64E6">
      <w:pPr>
        <w:tabs>
          <w:tab w:val="left" w:pos="426"/>
        </w:tabs>
        <w:spacing w:after="0" w:line="240" w:lineRule="auto"/>
        <w:jc w:val="both"/>
      </w:pPr>
      <w:r>
        <w:t xml:space="preserve">Keyano College recognizes the need for consistency in course naming conventions to add clarity for students and to ensure a positive, predictable student experience.  </w:t>
      </w:r>
    </w:p>
    <w:p w14:paraId="6A19A6F8" w14:textId="77777777" w:rsidR="00AF6B76" w:rsidRPr="00843E9B" w:rsidRDefault="00AF6B76" w:rsidP="009D64E6">
      <w:pPr>
        <w:tabs>
          <w:tab w:val="left" w:pos="426"/>
        </w:tabs>
        <w:spacing w:after="0" w:line="240" w:lineRule="auto"/>
        <w:jc w:val="both"/>
      </w:pPr>
    </w:p>
    <w:p w14:paraId="4C706310" w14:textId="77777777" w:rsidR="00907481" w:rsidRPr="00907481" w:rsidRDefault="00907481" w:rsidP="009D64E6">
      <w:pPr>
        <w:tabs>
          <w:tab w:val="left" w:pos="426"/>
        </w:tabs>
        <w:spacing w:after="120" w:line="240" w:lineRule="auto"/>
        <w:jc w:val="both"/>
        <w:rPr>
          <w:b/>
          <w:sz w:val="28"/>
          <w:szCs w:val="28"/>
        </w:rPr>
      </w:pPr>
      <w:r w:rsidRPr="00907481">
        <w:rPr>
          <w:b/>
          <w:sz w:val="28"/>
          <w:szCs w:val="28"/>
        </w:rPr>
        <w:t>2.</w:t>
      </w:r>
      <w:r w:rsidRPr="00907481">
        <w:rPr>
          <w:b/>
          <w:sz w:val="28"/>
          <w:szCs w:val="28"/>
        </w:rPr>
        <w:tab/>
        <w:t>Background</w:t>
      </w:r>
    </w:p>
    <w:p w14:paraId="0E954D49" w14:textId="75276257" w:rsidR="00907481" w:rsidRDefault="00AF6B76" w:rsidP="009D64E6">
      <w:pPr>
        <w:spacing w:after="0" w:line="240" w:lineRule="auto"/>
        <w:jc w:val="both"/>
      </w:pPr>
      <w:r>
        <w:t xml:space="preserve">This policy has been developed in order to ensure transferability between programs at Keyano College, as well as to other post-secondary institutions.  </w:t>
      </w:r>
    </w:p>
    <w:p w14:paraId="02F4932E" w14:textId="77777777" w:rsidR="00AF6B76" w:rsidRDefault="00AF6B76" w:rsidP="009D64E6">
      <w:pPr>
        <w:spacing w:after="0" w:line="240" w:lineRule="auto"/>
        <w:jc w:val="both"/>
      </w:pPr>
    </w:p>
    <w:p w14:paraId="10C28F49" w14:textId="7387540D" w:rsidR="00907481" w:rsidRPr="00907481" w:rsidRDefault="00C81F5F" w:rsidP="009D64E6">
      <w:pPr>
        <w:tabs>
          <w:tab w:val="left" w:pos="426"/>
        </w:tabs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="00907481" w:rsidRPr="00907481">
        <w:rPr>
          <w:b/>
          <w:sz w:val="28"/>
          <w:szCs w:val="28"/>
        </w:rPr>
        <w:t>Policy Objective</w:t>
      </w:r>
      <w:r w:rsidR="007273B2">
        <w:rPr>
          <w:b/>
          <w:sz w:val="28"/>
          <w:szCs w:val="28"/>
        </w:rPr>
        <w:t>s</w:t>
      </w:r>
    </w:p>
    <w:p w14:paraId="4352CF2F" w14:textId="7D0C0521" w:rsidR="00AF6B76" w:rsidRDefault="007273B2" w:rsidP="003F6CC8">
      <w:pPr>
        <w:spacing w:after="0" w:line="240" w:lineRule="auto"/>
        <w:ind w:left="450"/>
      </w:pPr>
      <w:r>
        <w:t>3.1 This policy will</w:t>
      </w:r>
      <w:r w:rsidR="00AF6B76">
        <w:t xml:space="preserve"> clearly communicate standards and to align credit determination across all </w:t>
      </w:r>
      <w:r w:rsidR="008F13F9">
        <w:t>credit programming</w:t>
      </w:r>
      <w:r w:rsidR="00AF6B76">
        <w:t xml:space="preserve">.  </w:t>
      </w:r>
    </w:p>
    <w:p w14:paraId="1DA1EC51" w14:textId="67F3A76E" w:rsidR="007273B2" w:rsidRDefault="007273B2" w:rsidP="003F6CC8">
      <w:pPr>
        <w:spacing w:after="0" w:line="240" w:lineRule="auto"/>
        <w:ind w:left="450"/>
      </w:pPr>
    </w:p>
    <w:p w14:paraId="096B1628" w14:textId="1036451C" w:rsidR="007273B2" w:rsidRDefault="007273B2" w:rsidP="003F6CC8">
      <w:pPr>
        <w:spacing w:after="0" w:line="240" w:lineRule="auto"/>
        <w:ind w:left="450"/>
      </w:pPr>
      <w:r>
        <w:t xml:space="preserve">3.2 This policy will outline principles for course naming conventions that standardize all course nomenclature to communicate clearly course details in a consistent manner for all courses.   </w:t>
      </w:r>
    </w:p>
    <w:p w14:paraId="12FFABFA" w14:textId="43F25926" w:rsidR="00907481" w:rsidRDefault="00AF6B76" w:rsidP="003F6CC8">
      <w:pPr>
        <w:spacing w:after="0" w:line="240" w:lineRule="auto"/>
        <w:ind w:left="450"/>
      </w:pPr>
      <w:r>
        <w:t xml:space="preserve"> </w:t>
      </w:r>
    </w:p>
    <w:p w14:paraId="75756218" w14:textId="77777777" w:rsidR="00907481" w:rsidRPr="00907481" w:rsidRDefault="00907481" w:rsidP="009D64E6">
      <w:pPr>
        <w:tabs>
          <w:tab w:val="left" w:pos="426"/>
        </w:tabs>
        <w:spacing w:after="120" w:line="240" w:lineRule="auto"/>
        <w:rPr>
          <w:b/>
          <w:sz w:val="28"/>
          <w:szCs w:val="28"/>
        </w:rPr>
      </w:pPr>
      <w:r w:rsidRPr="00907481">
        <w:rPr>
          <w:b/>
          <w:sz w:val="28"/>
          <w:szCs w:val="28"/>
        </w:rPr>
        <w:t>4.</w:t>
      </w:r>
      <w:r w:rsidR="00C81F5F">
        <w:rPr>
          <w:b/>
          <w:sz w:val="28"/>
          <w:szCs w:val="28"/>
        </w:rPr>
        <w:tab/>
      </w:r>
      <w:r w:rsidRPr="00907481">
        <w:rPr>
          <w:b/>
          <w:sz w:val="28"/>
          <w:szCs w:val="28"/>
        </w:rPr>
        <w:t>Scope</w:t>
      </w:r>
    </w:p>
    <w:p w14:paraId="139B3842" w14:textId="077E259C" w:rsidR="00710ED1" w:rsidRDefault="007273B2" w:rsidP="009D64E6">
      <w:pPr>
        <w:spacing w:after="0" w:line="240" w:lineRule="auto"/>
      </w:pPr>
      <w:r>
        <w:t>Credit determination</w:t>
      </w:r>
      <w:r w:rsidR="00AF6B76">
        <w:t xml:space="preserve"> will apply to </w:t>
      </w:r>
      <w:r w:rsidR="00680ECC">
        <w:t xml:space="preserve">all </w:t>
      </w:r>
      <w:r w:rsidR="008F13F9">
        <w:t>credit programming</w:t>
      </w:r>
      <w:r w:rsidR="000D395D">
        <w:t xml:space="preserve"> with the exception of </w:t>
      </w:r>
    </w:p>
    <w:p w14:paraId="33412F7A" w14:textId="2ABC1893" w:rsidR="00907481" w:rsidRDefault="002754D5" w:rsidP="00710ED1">
      <w:pPr>
        <w:pStyle w:val="ListParagraph"/>
        <w:numPr>
          <w:ilvl w:val="0"/>
          <w:numId w:val="12"/>
        </w:numPr>
        <w:spacing w:after="0" w:line="240" w:lineRule="auto"/>
      </w:pPr>
      <w:r>
        <w:t>A</w:t>
      </w:r>
      <w:r w:rsidR="000D395D">
        <w:t>pprenticeship training</w:t>
      </w:r>
      <w:r w:rsidR="00680ECC">
        <w:t xml:space="preserve"> as they are governed by AIT (Apprenticeship and Industry Training).  </w:t>
      </w:r>
    </w:p>
    <w:p w14:paraId="3E10B9E6" w14:textId="1A44F66B" w:rsidR="00710ED1" w:rsidRDefault="00710ED1" w:rsidP="00710ED1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College Preparation </w:t>
      </w:r>
      <w:r w:rsidR="006667D2">
        <w:t xml:space="preserve">courses </w:t>
      </w:r>
      <w:r>
        <w:t xml:space="preserve">as they are administered according to Alberta Education guidelines.  </w:t>
      </w:r>
    </w:p>
    <w:p w14:paraId="7B906239" w14:textId="0D757617" w:rsidR="006D5E9B" w:rsidRDefault="006D5E9B" w:rsidP="00710ED1">
      <w:pPr>
        <w:pStyle w:val="ListParagraph"/>
        <w:numPr>
          <w:ilvl w:val="0"/>
          <w:numId w:val="12"/>
        </w:numPr>
        <w:spacing w:after="0" w:line="240" w:lineRule="auto"/>
      </w:pPr>
      <w:r>
        <w:t>Workplace experiential learning courses</w:t>
      </w:r>
    </w:p>
    <w:p w14:paraId="6E400E78" w14:textId="725EEDEC" w:rsidR="007273B2" w:rsidRDefault="007273B2" w:rsidP="007273B2">
      <w:pPr>
        <w:spacing w:after="0" w:line="240" w:lineRule="auto"/>
      </w:pPr>
    </w:p>
    <w:p w14:paraId="728285F2" w14:textId="2D8AAA7A" w:rsidR="00680ECC" w:rsidRDefault="007273B2" w:rsidP="009D64E6">
      <w:pPr>
        <w:spacing w:after="0" w:line="240" w:lineRule="auto"/>
      </w:pPr>
      <w:r>
        <w:t>The implementation of consistent nomenclature will apply to all credit courses at Keyano College.</w:t>
      </w:r>
    </w:p>
    <w:p w14:paraId="3BBAD241" w14:textId="0920C97B" w:rsidR="003F6CC8" w:rsidRDefault="003F6CC8" w:rsidP="009D64E6">
      <w:pPr>
        <w:spacing w:after="0" w:line="240" w:lineRule="auto"/>
      </w:pPr>
    </w:p>
    <w:p w14:paraId="49DE1A32" w14:textId="77777777" w:rsidR="003F6CC8" w:rsidRDefault="003F6CC8" w:rsidP="009D64E6">
      <w:pPr>
        <w:spacing w:after="0" w:line="240" w:lineRule="auto"/>
      </w:pPr>
    </w:p>
    <w:p w14:paraId="3B5DF88D" w14:textId="77777777" w:rsidR="003F6CC8" w:rsidRDefault="003F6CC8" w:rsidP="009D64E6">
      <w:pPr>
        <w:spacing w:after="0" w:line="240" w:lineRule="auto"/>
      </w:pPr>
    </w:p>
    <w:p w14:paraId="66C71F6E" w14:textId="77777777" w:rsidR="00907481" w:rsidRDefault="00664AE4" w:rsidP="009D64E6">
      <w:pPr>
        <w:tabs>
          <w:tab w:val="left" w:pos="426"/>
        </w:tabs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</w:r>
      <w:r w:rsidR="00907481" w:rsidRPr="00907481">
        <w:rPr>
          <w:b/>
          <w:sz w:val="28"/>
          <w:szCs w:val="28"/>
        </w:rPr>
        <w:t>Definitions</w:t>
      </w:r>
    </w:p>
    <w:p w14:paraId="3385BFC5" w14:textId="77777777" w:rsidR="00C223C4" w:rsidRDefault="00C223C4" w:rsidP="0011498D">
      <w:pPr>
        <w:pStyle w:val="Default"/>
        <w:tabs>
          <w:tab w:val="left" w:pos="567"/>
          <w:tab w:val="left" w:pos="1134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764242BE" w14:textId="77777777" w:rsidR="003F6CC8" w:rsidRDefault="003F6CC8" w:rsidP="003F6CC8">
      <w:pPr>
        <w:pStyle w:val="Default"/>
        <w:tabs>
          <w:tab w:val="left" w:pos="450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 xml:space="preserve">5.1 </w:t>
      </w:r>
      <w:r w:rsidR="00F67F07">
        <w:rPr>
          <w:rFonts w:asciiTheme="minorHAnsi" w:hAnsiTheme="minorHAnsi"/>
          <w:b/>
          <w:sz w:val="22"/>
          <w:szCs w:val="22"/>
        </w:rPr>
        <w:t xml:space="preserve">Alpha Code </w:t>
      </w:r>
    </w:p>
    <w:p w14:paraId="258128EA" w14:textId="315E5E46" w:rsidR="00F67F07" w:rsidRPr="00F67F07" w:rsidRDefault="003F6CC8" w:rsidP="003F6CC8">
      <w:pPr>
        <w:pStyle w:val="Default"/>
        <w:tabs>
          <w:tab w:val="left" w:pos="450"/>
        </w:tabs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3F6CC8">
        <w:rPr>
          <w:rFonts w:asciiTheme="minorHAnsi" w:hAnsiTheme="minorHAnsi"/>
          <w:sz w:val="22"/>
          <w:szCs w:val="22"/>
        </w:rPr>
        <w:t>Alpha Code is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F67F07">
        <w:rPr>
          <w:rFonts w:asciiTheme="minorHAnsi" w:hAnsiTheme="minorHAnsi"/>
          <w:bCs/>
          <w:sz w:val="22"/>
          <w:szCs w:val="22"/>
        </w:rPr>
        <w:t xml:space="preserve">a series of letters used to represent </w:t>
      </w:r>
      <w:r w:rsidR="008073C6">
        <w:rPr>
          <w:rFonts w:asciiTheme="minorHAnsi" w:hAnsiTheme="minorHAnsi"/>
          <w:bCs/>
          <w:sz w:val="22"/>
          <w:szCs w:val="22"/>
        </w:rPr>
        <w:t xml:space="preserve">a course or program.  </w:t>
      </w:r>
    </w:p>
    <w:p w14:paraId="3CA9675C" w14:textId="77777777" w:rsidR="00F67F07" w:rsidRDefault="00F67F07" w:rsidP="0011498D">
      <w:pPr>
        <w:pStyle w:val="Default"/>
        <w:tabs>
          <w:tab w:val="left" w:pos="567"/>
          <w:tab w:val="left" w:pos="1134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2278F743" w14:textId="0E6A2733" w:rsidR="003F6CC8" w:rsidRDefault="003F6CC8" w:rsidP="003F6CC8">
      <w:pPr>
        <w:pStyle w:val="Default"/>
        <w:tabs>
          <w:tab w:val="left" w:pos="1134"/>
        </w:tabs>
        <w:ind w:left="4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5.2 C</w:t>
      </w:r>
      <w:r w:rsidR="00EB35E5">
        <w:rPr>
          <w:rFonts w:asciiTheme="minorHAnsi" w:hAnsiTheme="minorHAnsi"/>
          <w:b/>
          <w:sz w:val="22"/>
          <w:szCs w:val="22"/>
        </w:rPr>
        <w:t>redit</w:t>
      </w:r>
      <w:r w:rsidR="00EB35E5">
        <w:rPr>
          <w:rFonts w:asciiTheme="minorHAnsi" w:hAnsiTheme="minorHAnsi"/>
          <w:sz w:val="22"/>
          <w:szCs w:val="22"/>
        </w:rPr>
        <w:t xml:space="preserve"> </w:t>
      </w:r>
    </w:p>
    <w:p w14:paraId="7ACDD29A" w14:textId="3AA8749C" w:rsidR="00B37C89" w:rsidRDefault="003F6CC8" w:rsidP="003F6CC8">
      <w:pPr>
        <w:pStyle w:val="Default"/>
        <w:tabs>
          <w:tab w:val="left" w:pos="1134"/>
        </w:tabs>
        <w:ind w:left="4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Credit </w:t>
      </w:r>
      <w:r w:rsidR="00EB35E5">
        <w:rPr>
          <w:rFonts w:asciiTheme="minorHAnsi" w:hAnsiTheme="minorHAnsi"/>
          <w:sz w:val="22"/>
          <w:szCs w:val="22"/>
        </w:rPr>
        <w:t>is representative of the work required to learn the course outcomes verified by evidence of student achievement. A 3-cred</w:t>
      </w:r>
      <w:r w:rsidR="008F13F9">
        <w:rPr>
          <w:rFonts w:asciiTheme="minorHAnsi" w:hAnsiTheme="minorHAnsi"/>
          <w:sz w:val="22"/>
          <w:szCs w:val="22"/>
        </w:rPr>
        <w:t>i</w:t>
      </w:r>
      <w:r w:rsidR="00EB35E5">
        <w:rPr>
          <w:rFonts w:asciiTheme="minorHAnsi" w:hAnsiTheme="minorHAnsi"/>
          <w:sz w:val="22"/>
          <w:szCs w:val="22"/>
        </w:rPr>
        <w:t xml:space="preserve">t course will then reasonably approximate not less than </w:t>
      </w:r>
      <w:r w:rsidR="006E2BE0">
        <w:rPr>
          <w:rFonts w:asciiTheme="minorHAnsi" w:hAnsiTheme="minorHAnsi"/>
          <w:sz w:val="22"/>
          <w:szCs w:val="22"/>
        </w:rPr>
        <w:t>2</w:t>
      </w:r>
      <w:r w:rsidR="00EB35E5">
        <w:rPr>
          <w:rFonts w:asciiTheme="minorHAnsi" w:hAnsiTheme="minorHAnsi"/>
          <w:sz w:val="22"/>
          <w:szCs w:val="22"/>
        </w:rPr>
        <w:t xml:space="preserve"> </w:t>
      </w:r>
      <w:r w:rsidR="008F13F9">
        <w:rPr>
          <w:rFonts w:asciiTheme="minorHAnsi" w:hAnsiTheme="minorHAnsi"/>
          <w:sz w:val="22"/>
          <w:szCs w:val="22"/>
        </w:rPr>
        <w:t xml:space="preserve">hours </w:t>
      </w:r>
      <w:r w:rsidR="00EB35E5">
        <w:rPr>
          <w:rFonts w:asciiTheme="minorHAnsi" w:hAnsiTheme="minorHAnsi"/>
          <w:sz w:val="22"/>
          <w:szCs w:val="22"/>
        </w:rPr>
        <w:t xml:space="preserve">of a combination of supported learning and student self-directed learning for every </w:t>
      </w:r>
      <w:r w:rsidR="006E2BE0">
        <w:rPr>
          <w:rFonts w:asciiTheme="minorHAnsi" w:hAnsiTheme="minorHAnsi"/>
          <w:sz w:val="22"/>
          <w:szCs w:val="22"/>
        </w:rPr>
        <w:t xml:space="preserve">1 </w:t>
      </w:r>
      <w:r w:rsidR="00EB35E5">
        <w:rPr>
          <w:rFonts w:asciiTheme="minorHAnsi" w:hAnsiTheme="minorHAnsi"/>
          <w:sz w:val="22"/>
          <w:szCs w:val="22"/>
        </w:rPr>
        <w:t>hour of direct teaching</w:t>
      </w:r>
      <w:r w:rsidR="008F13F9">
        <w:rPr>
          <w:rFonts w:asciiTheme="minorHAnsi" w:hAnsiTheme="minorHAnsi"/>
          <w:sz w:val="22"/>
          <w:szCs w:val="22"/>
        </w:rPr>
        <w:t xml:space="preserve">.  Each credit should be approximately 15 hours of instruction.  </w:t>
      </w:r>
    </w:p>
    <w:p w14:paraId="6164B722" w14:textId="77777777" w:rsidR="00B37C89" w:rsidRDefault="00B37C89" w:rsidP="003F6CC8">
      <w:pPr>
        <w:pStyle w:val="Default"/>
        <w:tabs>
          <w:tab w:val="left" w:pos="1134"/>
        </w:tabs>
        <w:ind w:left="450"/>
        <w:jc w:val="both"/>
        <w:rPr>
          <w:rFonts w:asciiTheme="minorHAnsi" w:hAnsiTheme="minorHAnsi"/>
          <w:b/>
          <w:sz w:val="22"/>
          <w:szCs w:val="22"/>
        </w:rPr>
      </w:pPr>
    </w:p>
    <w:p w14:paraId="1C4C08ED" w14:textId="2B25B0E9" w:rsidR="003F6CC8" w:rsidRDefault="003F6CC8" w:rsidP="003F6CC8">
      <w:pPr>
        <w:pStyle w:val="Default"/>
        <w:tabs>
          <w:tab w:val="left" w:pos="1134"/>
        </w:tabs>
        <w:ind w:left="4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5.3 Credit Course</w:t>
      </w:r>
    </w:p>
    <w:p w14:paraId="38E7B322" w14:textId="46C97C0A" w:rsidR="00C718EF" w:rsidRPr="00C718EF" w:rsidRDefault="003F6CC8" w:rsidP="003F6CC8">
      <w:pPr>
        <w:pStyle w:val="Default"/>
        <w:tabs>
          <w:tab w:val="left" w:pos="1134"/>
        </w:tabs>
        <w:ind w:left="4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Credit Course</w:t>
      </w:r>
      <w:r w:rsidR="00C718E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is</w:t>
      </w:r>
      <w:r w:rsidR="00C718EF">
        <w:rPr>
          <w:rFonts w:asciiTheme="minorHAnsi" w:hAnsiTheme="minorHAnsi"/>
          <w:sz w:val="22"/>
          <w:szCs w:val="22"/>
        </w:rPr>
        <w:t xml:space="preserve"> a course that is part of a program approved by the Alberta government, and that has a credit value associated with it. It may be offered in the daytime or evening, through face-to-face delivery, distance delivery or blended delivery.  It is included in the calculation of a student’s grade point average.  </w:t>
      </w:r>
    </w:p>
    <w:p w14:paraId="65F08EF4" w14:textId="77777777" w:rsidR="00C718EF" w:rsidRDefault="00C718EF" w:rsidP="0011498D">
      <w:pPr>
        <w:pStyle w:val="Default"/>
        <w:tabs>
          <w:tab w:val="left" w:pos="567"/>
          <w:tab w:val="left" w:pos="1134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F3D8A08" w14:textId="77777777" w:rsidR="003F6CC8" w:rsidRDefault="003F6CC8" w:rsidP="003F6CC8">
      <w:pPr>
        <w:pStyle w:val="Default"/>
        <w:tabs>
          <w:tab w:val="left" w:pos="567"/>
          <w:tab w:val="left" w:pos="1134"/>
        </w:tabs>
        <w:ind w:left="45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5.4 </w:t>
      </w:r>
      <w:r w:rsidR="00EB35E5">
        <w:rPr>
          <w:rFonts w:asciiTheme="minorHAnsi" w:hAnsiTheme="minorHAnsi"/>
          <w:b/>
          <w:sz w:val="22"/>
          <w:szCs w:val="22"/>
        </w:rPr>
        <w:t>Credit Program</w:t>
      </w:r>
    </w:p>
    <w:p w14:paraId="37CBEBA0" w14:textId="30555A71" w:rsidR="00EB35E5" w:rsidRDefault="003F6CC8" w:rsidP="003F6CC8">
      <w:pPr>
        <w:pStyle w:val="Default"/>
        <w:tabs>
          <w:tab w:val="left" w:pos="567"/>
          <w:tab w:val="left" w:pos="1134"/>
        </w:tabs>
        <w:ind w:left="4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Credit Program is </w:t>
      </w:r>
      <w:r w:rsidR="00EB35E5">
        <w:rPr>
          <w:rFonts w:asciiTheme="minorHAnsi" w:hAnsiTheme="minorHAnsi"/>
          <w:sz w:val="22"/>
          <w:szCs w:val="22"/>
        </w:rPr>
        <w:t xml:space="preserve">a group of related courses that is formally approved by Alberta’s Post-secondary Education Ministry and offers an official credential recognized in the Alberta credential framework. </w:t>
      </w:r>
    </w:p>
    <w:p w14:paraId="4CDE1BF4" w14:textId="47973852" w:rsidR="00A037FD" w:rsidRDefault="00A037FD" w:rsidP="0011498D">
      <w:pPr>
        <w:pStyle w:val="Default"/>
        <w:tabs>
          <w:tab w:val="left" w:pos="567"/>
          <w:tab w:val="left" w:pos="1134"/>
        </w:tabs>
        <w:jc w:val="both"/>
        <w:rPr>
          <w:rFonts w:asciiTheme="minorHAnsi" w:hAnsiTheme="minorHAnsi"/>
          <w:sz w:val="22"/>
          <w:szCs w:val="22"/>
        </w:rPr>
      </w:pPr>
    </w:p>
    <w:p w14:paraId="0329EF1D" w14:textId="77777777" w:rsidR="003F6CC8" w:rsidRDefault="003F6CC8" w:rsidP="003F6CC8">
      <w:pPr>
        <w:pStyle w:val="Default"/>
        <w:tabs>
          <w:tab w:val="left" w:pos="567"/>
          <w:tab w:val="left" w:pos="1134"/>
        </w:tabs>
        <w:ind w:left="45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5.5 </w:t>
      </w:r>
      <w:r w:rsidR="00C718EF">
        <w:rPr>
          <w:rFonts w:asciiTheme="minorHAnsi" w:hAnsiTheme="minorHAnsi"/>
          <w:b/>
          <w:sz w:val="22"/>
          <w:szCs w:val="22"/>
        </w:rPr>
        <w:t>Independent Learning</w:t>
      </w:r>
    </w:p>
    <w:p w14:paraId="0F5875C9" w14:textId="0353F422" w:rsidR="00C718EF" w:rsidRDefault="003F6CC8" w:rsidP="003F6CC8">
      <w:pPr>
        <w:pStyle w:val="Default"/>
        <w:tabs>
          <w:tab w:val="left" w:pos="567"/>
          <w:tab w:val="left" w:pos="1134"/>
        </w:tabs>
        <w:ind w:left="450"/>
        <w:jc w:val="both"/>
        <w:rPr>
          <w:rFonts w:asciiTheme="minorHAnsi" w:hAnsiTheme="minorHAnsi"/>
          <w:sz w:val="22"/>
          <w:szCs w:val="22"/>
        </w:rPr>
      </w:pPr>
      <w:r w:rsidRPr="003F6CC8">
        <w:rPr>
          <w:rFonts w:asciiTheme="minorHAnsi" w:hAnsiTheme="minorHAnsi"/>
          <w:sz w:val="22"/>
          <w:szCs w:val="22"/>
        </w:rPr>
        <w:t>Independent Learning is learning</w:t>
      </w:r>
      <w:r w:rsidR="00C718EF">
        <w:rPr>
          <w:rFonts w:asciiTheme="minorHAnsi" w:hAnsiTheme="minorHAnsi"/>
          <w:sz w:val="22"/>
          <w:szCs w:val="22"/>
        </w:rPr>
        <w:t xml:space="preserve"> that a student does outside of scheduled class time. This may include but is not limited to study, assignment work, preparation for labs and report writing.  </w:t>
      </w:r>
    </w:p>
    <w:p w14:paraId="785D510E" w14:textId="2EFB84F1" w:rsidR="00C718EF" w:rsidRDefault="00C718EF" w:rsidP="0011498D">
      <w:pPr>
        <w:pStyle w:val="Default"/>
        <w:tabs>
          <w:tab w:val="left" w:pos="567"/>
          <w:tab w:val="left" w:pos="1134"/>
        </w:tabs>
        <w:jc w:val="both"/>
        <w:rPr>
          <w:rFonts w:asciiTheme="minorHAnsi" w:hAnsiTheme="minorHAnsi"/>
          <w:sz w:val="22"/>
          <w:szCs w:val="22"/>
        </w:rPr>
      </w:pPr>
    </w:p>
    <w:p w14:paraId="6AFC91A1" w14:textId="77777777" w:rsidR="003F6CC8" w:rsidRDefault="003F6CC8" w:rsidP="003F6CC8">
      <w:pPr>
        <w:pStyle w:val="Default"/>
        <w:tabs>
          <w:tab w:val="left" w:pos="567"/>
          <w:tab w:val="left" w:pos="1134"/>
        </w:tabs>
        <w:ind w:left="45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 xml:space="preserve">5.6 </w:t>
      </w:r>
      <w:r w:rsidR="00C718EF" w:rsidRPr="00C718EF">
        <w:rPr>
          <w:rFonts w:asciiTheme="minorHAnsi" w:hAnsiTheme="minorHAnsi"/>
          <w:b/>
          <w:sz w:val="22"/>
          <w:szCs w:val="22"/>
          <w:lang w:val="en-US"/>
        </w:rPr>
        <w:t>Non-Credit Course</w:t>
      </w:r>
      <w:r w:rsidR="00C718EF" w:rsidRPr="00C718EF">
        <w:rPr>
          <w:rFonts w:asciiTheme="minorHAnsi" w:hAnsiTheme="minorHAnsi"/>
          <w:sz w:val="22"/>
          <w:szCs w:val="22"/>
          <w:lang w:val="en-US"/>
        </w:rPr>
        <w:t xml:space="preserve">  </w:t>
      </w:r>
    </w:p>
    <w:p w14:paraId="0227D8F6" w14:textId="0B491CCE" w:rsidR="00C718EF" w:rsidRDefault="003F6CC8" w:rsidP="003F6CC8">
      <w:pPr>
        <w:pStyle w:val="Default"/>
        <w:tabs>
          <w:tab w:val="left" w:pos="567"/>
          <w:tab w:val="left" w:pos="1134"/>
        </w:tabs>
        <w:ind w:left="45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Non-Credit Course is </w:t>
      </w:r>
      <w:r w:rsidR="00C718EF" w:rsidRPr="00C718EF">
        <w:rPr>
          <w:rFonts w:asciiTheme="minorHAnsi" w:hAnsiTheme="minorHAnsi"/>
          <w:sz w:val="22"/>
          <w:szCs w:val="22"/>
          <w:lang w:val="en-US"/>
        </w:rPr>
        <w:t>a course whic</w:t>
      </w:r>
      <w:r w:rsidR="00C718EF">
        <w:rPr>
          <w:rFonts w:asciiTheme="minorHAnsi" w:hAnsiTheme="minorHAnsi"/>
          <w:sz w:val="22"/>
          <w:szCs w:val="22"/>
          <w:lang w:val="en-US"/>
        </w:rPr>
        <w:t xml:space="preserve">h is not part of an Alberta government-approved program, and does not have a credit value associated with it. It is not included in the calculation of a student’s grade point average.  </w:t>
      </w:r>
    </w:p>
    <w:p w14:paraId="634DECDD" w14:textId="77777777" w:rsidR="00C718EF" w:rsidRPr="00C718EF" w:rsidRDefault="00C718EF" w:rsidP="0011498D">
      <w:pPr>
        <w:pStyle w:val="Default"/>
        <w:tabs>
          <w:tab w:val="left" w:pos="567"/>
          <w:tab w:val="left" w:pos="1134"/>
        </w:tabs>
        <w:jc w:val="both"/>
        <w:rPr>
          <w:rFonts w:asciiTheme="minorHAnsi" w:hAnsiTheme="minorHAnsi"/>
          <w:sz w:val="22"/>
          <w:szCs w:val="22"/>
          <w:lang w:val="en-US"/>
        </w:rPr>
      </w:pPr>
    </w:p>
    <w:p w14:paraId="7B04BE2F" w14:textId="77777777" w:rsidR="003F6CC8" w:rsidRDefault="003F6CC8" w:rsidP="003F6CC8">
      <w:pPr>
        <w:pStyle w:val="Default"/>
        <w:tabs>
          <w:tab w:val="left" w:pos="567"/>
          <w:tab w:val="left" w:pos="1134"/>
        </w:tabs>
        <w:ind w:left="4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5.7 </w:t>
      </w:r>
      <w:r w:rsidR="000D395D">
        <w:rPr>
          <w:rFonts w:asciiTheme="minorHAnsi" w:hAnsiTheme="minorHAnsi"/>
          <w:b/>
          <w:sz w:val="22"/>
          <w:szCs w:val="22"/>
        </w:rPr>
        <w:t xml:space="preserve">Non-Credit Program </w:t>
      </w:r>
    </w:p>
    <w:p w14:paraId="306FB04C" w14:textId="2CA374B6" w:rsidR="000D395D" w:rsidRPr="000D395D" w:rsidRDefault="003F6CC8" w:rsidP="003F6CC8">
      <w:pPr>
        <w:pStyle w:val="Default"/>
        <w:tabs>
          <w:tab w:val="left" w:pos="567"/>
          <w:tab w:val="left" w:pos="1134"/>
        </w:tabs>
        <w:ind w:left="4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Non-Credit Program is</w:t>
      </w:r>
      <w:r w:rsidR="000D395D">
        <w:rPr>
          <w:rFonts w:asciiTheme="minorHAnsi" w:hAnsiTheme="minorHAnsi"/>
          <w:b/>
          <w:sz w:val="22"/>
          <w:szCs w:val="22"/>
        </w:rPr>
        <w:t xml:space="preserve"> </w:t>
      </w:r>
      <w:r w:rsidR="000D395D">
        <w:rPr>
          <w:rFonts w:asciiTheme="minorHAnsi" w:hAnsiTheme="minorHAnsi"/>
          <w:sz w:val="22"/>
          <w:szCs w:val="22"/>
        </w:rPr>
        <w:t xml:space="preserve">a group of related courses whose completion meets the requirements for a certificate that is not an official credential recognized within the Alberta credential framework.  </w:t>
      </w:r>
    </w:p>
    <w:p w14:paraId="59E544E9" w14:textId="26D49723" w:rsidR="00A037FD" w:rsidRDefault="00A037FD" w:rsidP="0011498D">
      <w:pPr>
        <w:pStyle w:val="Default"/>
        <w:tabs>
          <w:tab w:val="left" w:pos="567"/>
          <w:tab w:val="left" w:pos="1134"/>
        </w:tabs>
        <w:jc w:val="both"/>
        <w:rPr>
          <w:rFonts w:asciiTheme="minorHAnsi" w:hAnsiTheme="minorHAnsi"/>
          <w:sz w:val="22"/>
          <w:szCs w:val="22"/>
        </w:rPr>
      </w:pPr>
    </w:p>
    <w:p w14:paraId="09937DCD" w14:textId="77777777" w:rsidR="003F6CC8" w:rsidRDefault="003F6CC8" w:rsidP="003F6CC8">
      <w:pPr>
        <w:pStyle w:val="Default"/>
        <w:tabs>
          <w:tab w:val="left" w:pos="567"/>
          <w:tab w:val="left" w:pos="1134"/>
        </w:tabs>
        <w:ind w:left="4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5.8 </w:t>
      </w:r>
      <w:r w:rsidR="000D395D">
        <w:rPr>
          <w:rFonts w:asciiTheme="minorHAnsi" w:hAnsiTheme="minorHAnsi"/>
          <w:b/>
          <w:sz w:val="22"/>
          <w:szCs w:val="22"/>
        </w:rPr>
        <w:t xml:space="preserve">Program of Study </w:t>
      </w:r>
      <w:r w:rsidR="000D395D">
        <w:rPr>
          <w:rFonts w:asciiTheme="minorHAnsi" w:hAnsiTheme="minorHAnsi"/>
          <w:sz w:val="22"/>
          <w:szCs w:val="22"/>
        </w:rPr>
        <w:t xml:space="preserve"> </w:t>
      </w:r>
    </w:p>
    <w:p w14:paraId="44B6E70A" w14:textId="579A3670" w:rsidR="000D395D" w:rsidRDefault="003F6CC8" w:rsidP="003F6CC8">
      <w:pPr>
        <w:pStyle w:val="Default"/>
        <w:tabs>
          <w:tab w:val="left" w:pos="567"/>
          <w:tab w:val="left" w:pos="1134"/>
        </w:tabs>
        <w:ind w:left="4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Program of Study is </w:t>
      </w:r>
      <w:r w:rsidR="000D395D">
        <w:rPr>
          <w:rFonts w:asciiTheme="minorHAnsi" w:hAnsiTheme="minorHAnsi"/>
          <w:sz w:val="22"/>
          <w:szCs w:val="22"/>
        </w:rPr>
        <w:t>a group of credit courses that, on completion, leads to the granting of a degree, diploma, certificate or applied degree. (Post-Secondary Learning Act, 2017)</w:t>
      </w:r>
    </w:p>
    <w:p w14:paraId="3AF539CD" w14:textId="77777777" w:rsidR="003152F0" w:rsidRDefault="003152F0" w:rsidP="003152F0">
      <w:pPr>
        <w:pStyle w:val="Default"/>
        <w:tabs>
          <w:tab w:val="left" w:pos="567"/>
          <w:tab w:val="left" w:pos="1134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4AE85E6A" w14:textId="77777777" w:rsidR="003F6CC8" w:rsidRDefault="003F6CC8" w:rsidP="003F6CC8">
      <w:pPr>
        <w:pStyle w:val="Default"/>
        <w:tabs>
          <w:tab w:val="left" w:pos="567"/>
          <w:tab w:val="left" w:pos="1134"/>
        </w:tabs>
        <w:ind w:left="4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5.9 </w:t>
      </w:r>
      <w:r w:rsidR="00C718EF">
        <w:rPr>
          <w:rFonts w:asciiTheme="minorHAnsi" w:hAnsiTheme="minorHAnsi"/>
          <w:b/>
          <w:sz w:val="22"/>
          <w:szCs w:val="22"/>
        </w:rPr>
        <w:t>Workplace Experiential Learning Course</w:t>
      </w:r>
      <w:r w:rsidR="00C718EF">
        <w:rPr>
          <w:rFonts w:asciiTheme="minorHAnsi" w:hAnsiTheme="minorHAnsi"/>
          <w:sz w:val="22"/>
          <w:szCs w:val="22"/>
        </w:rPr>
        <w:t xml:space="preserve">  </w:t>
      </w:r>
    </w:p>
    <w:p w14:paraId="0CD55F6E" w14:textId="6B7FE50D" w:rsidR="00EB35E5" w:rsidRDefault="003F6CC8" w:rsidP="003F6CC8">
      <w:pPr>
        <w:pStyle w:val="Default"/>
        <w:tabs>
          <w:tab w:val="left" w:pos="567"/>
          <w:tab w:val="left" w:pos="1134"/>
        </w:tabs>
        <w:ind w:left="4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Workplace Experiential Learning Course is </w:t>
      </w:r>
      <w:r w:rsidR="00C718EF">
        <w:rPr>
          <w:rFonts w:asciiTheme="minorHAnsi" w:hAnsiTheme="minorHAnsi"/>
          <w:sz w:val="22"/>
          <w:szCs w:val="22"/>
        </w:rPr>
        <w:t>a course that the student completes primarily in a workplace setting.  This could include practicums, clinical placements,</w:t>
      </w:r>
      <w:r w:rsidR="006D5E9B">
        <w:rPr>
          <w:rFonts w:asciiTheme="minorHAnsi" w:hAnsiTheme="minorHAnsi"/>
          <w:sz w:val="22"/>
          <w:szCs w:val="22"/>
        </w:rPr>
        <w:t xml:space="preserve"> and</w:t>
      </w:r>
      <w:r w:rsidR="00C718EF">
        <w:rPr>
          <w:rFonts w:asciiTheme="minorHAnsi" w:hAnsiTheme="minorHAnsi"/>
          <w:sz w:val="22"/>
          <w:szCs w:val="22"/>
        </w:rPr>
        <w:t xml:space="preserve"> on the job training</w:t>
      </w:r>
      <w:r w:rsidR="006D5E9B">
        <w:rPr>
          <w:rFonts w:asciiTheme="minorHAnsi" w:hAnsiTheme="minorHAnsi"/>
          <w:sz w:val="22"/>
          <w:szCs w:val="22"/>
        </w:rPr>
        <w:t xml:space="preserve">.  </w:t>
      </w:r>
    </w:p>
    <w:p w14:paraId="24831551" w14:textId="53D585FD" w:rsidR="003F6CC8" w:rsidRDefault="003F6CC8" w:rsidP="003F6CC8">
      <w:pPr>
        <w:pStyle w:val="Default"/>
        <w:tabs>
          <w:tab w:val="left" w:pos="567"/>
          <w:tab w:val="left" w:pos="1134"/>
        </w:tabs>
        <w:ind w:left="450"/>
        <w:jc w:val="both"/>
        <w:rPr>
          <w:rFonts w:asciiTheme="minorHAnsi" w:hAnsiTheme="minorHAnsi"/>
          <w:sz w:val="22"/>
          <w:szCs w:val="22"/>
        </w:rPr>
      </w:pPr>
    </w:p>
    <w:p w14:paraId="41821247" w14:textId="3603FFB1" w:rsidR="003F6CC8" w:rsidRDefault="003F6CC8" w:rsidP="003F6CC8">
      <w:pPr>
        <w:pStyle w:val="Default"/>
        <w:tabs>
          <w:tab w:val="left" w:pos="567"/>
          <w:tab w:val="left" w:pos="1134"/>
        </w:tabs>
        <w:ind w:left="450"/>
        <w:jc w:val="both"/>
        <w:rPr>
          <w:rFonts w:asciiTheme="minorHAnsi" w:hAnsiTheme="minorHAnsi"/>
          <w:sz w:val="22"/>
          <w:szCs w:val="22"/>
        </w:rPr>
      </w:pPr>
    </w:p>
    <w:p w14:paraId="5274F13B" w14:textId="6B574CA8" w:rsidR="003F6CC8" w:rsidRDefault="003F6CC8" w:rsidP="003F6CC8">
      <w:pPr>
        <w:pStyle w:val="Default"/>
        <w:tabs>
          <w:tab w:val="left" w:pos="567"/>
          <w:tab w:val="left" w:pos="1134"/>
        </w:tabs>
        <w:ind w:left="450"/>
        <w:jc w:val="both"/>
        <w:rPr>
          <w:rFonts w:asciiTheme="minorHAnsi" w:hAnsiTheme="minorHAnsi"/>
          <w:sz w:val="22"/>
          <w:szCs w:val="22"/>
        </w:rPr>
      </w:pPr>
    </w:p>
    <w:p w14:paraId="0F24BC46" w14:textId="0F578AFF" w:rsidR="003F6CC8" w:rsidRDefault="003F6CC8" w:rsidP="003F6CC8">
      <w:pPr>
        <w:pStyle w:val="Default"/>
        <w:tabs>
          <w:tab w:val="left" w:pos="567"/>
          <w:tab w:val="left" w:pos="1134"/>
        </w:tabs>
        <w:ind w:left="450"/>
        <w:jc w:val="both"/>
        <w:rPr>
          <w:rFonts w:asciiTheme="minorHAnsi" w:hAnsiTheme="minorHAnsi"/>
          <w:sz w:val="22"/>
          <w:szCs w:val="22"/>
        </w:rPr>
      </w:pPr>
    </w:p>
    <w:p w14:paraId="4E54D452" w14:textId="77777777" w:rsidR="003F6CC8" w:rsidRDefault="003F6CC8" w:rsidP="0011498D">
      <w:pPr>
        <w:tabs>
          <w:tab w:val="left" w:pos="426"/>
        </w:tabs>
        <w:spacing w:after="0" w:line="240" w:lineRule="auto"/>
        <w:rPr>
          <w:b/>
          <w:sz w:val="28"/>
          <w:szCs w:val="28"/>
        </w:rPr>
      </w:pPr>
    </w:p>
    <w:p w14:paraId="254F9AC6" w14:textId="572C01FB" w:rsidR="000653BF" w:rsidRDefault="00907481" w:rsidP="0011498D">
      <w:pPr>
        <w:tabs>
          <w:tab w:val="left" w:pos="426"/>
        </w:tabs>
        <w:spacing w:after="0" w:line="240" w:lineRule="auto"/>
        <w:rPr>
          <w:b/>
          <w:sz w:val="28"/>
          <w:szCs w:val="28"/>
        </w:rPr>
      </w:pPr>
      <w:r w:rsidRPr="00907481">
        <w:rPr>
          <w:b/>
          <w:sz w:val="28"/>
          <w:szCs w:val="28"/>
        </w:rPr>
        <w:t>6.</w:t>
      </w:r>
      <w:r w:rsidRPr="00907481">
        <w:rPr>
          <w:b/>
          <w:sz w:val="28"/>
          <w:szCs w:val="28"/>
        </w:rPr>
        <w:tab/>
        <w:t>Guiding Principles</w:t>
      </w:r>
    </w:p>
    <w:p w14:paraId="55C7DA16" w14:textId="77777777" w:rsidR="00B77F5C" w:rsidRDefault="00B77F5C" w:rsidP="00B77F5C">
      <w:pPr>
        <w:tabs>
          <w:tab w:val="left" w:pos="426"/>
        </w:tabs>
        <w:spacing w:after="0" w:line="240" w:lineRule="auto"/>
        <w:ind w:left="426"/>
      </w:pPr>
    </w:p>
    <w:p w14:paraId="12BB4BBF" w14:textId="147B35B3" w:rsidR="00B77F5C" w:rsidRPr="003F6CC8" w:rsidRDefault="00B77F5C" w:rsidP="00B77F5C">
      <w:pPr>
        <w:tabs>
          <w:tab w:val="left" w:pos="426"/>
        </w:tabs>
        <w:spacing w:after="0" w:line="240" w:lineRule="auto"/>
        <w:ind w:left="426"/>
        <w:rPr>
          <w:b/>
        </w:rPr>
      </w:pPr>
      <w:r w:rsidRPr="003F6CC8">
        <w:rPr>
          <w:b/>
        </w:rPr>
        <w:t>6.1 Course Credit Determination</w:t>
      </w:r>
    </w:p>
    <w:p w14:paraId="49BFEFE1" w14:textId="33D5B070" w:rsidR="001B5FDD" w:rsidRDefault="00B77F5C" w:rsidP="00B77F5C">
      <w:pPr>
        <w:tabs>
          <w:tab w:val="left" w:pos="426"/>
        </w:tabs>
        <w:spacing w:after="0" w:line="240" w:lineRule="auto"/>
        <w:ind w:left="852"/>
      </w:pPr>
      <w:r>
        <w:t xml:space="preserve">6.1.1 </w:t>
      </w:r>
      <w:r w:rsidR="001B5FDD">
        <w:t xml:space="preserve">Keyano College uses a standard credential framework that provides common academic weight and integrity to the credentials and credits that the college offers.  This ensures that Keyano College credentials are comparable with like-credentials offered by other post-secondary institutions, improves the mobility of Keyano College students and graduates, and are valued by employers.  </w:t>
      </w:r>
    </w:p>
    <w:p w14:paraId="14C4CFF6" w14:textId="1F21284E" w:rsidR="00B37C89" w:rsidRDefault="00B77F5C" w:rsidP="00B77F5C">
      <w:pPr>
        <w:tabs>
          <w:tab w:val="left" w:pos="426"/>
        </w:tabs>
        <w:spacing w:after="0" w:line="240" w:lineRule="auto"/>
        <w:ind w:left="852"/>
      </w:pPr>
      <w:r>
        <w:t xml:space="preserve">6.1.2 </w:t>
      </w:r>
      <w:r w:rsidR="00B37C89">
        <w:t xml:space="preserve">All credit programs will comply with the </w:t>
      </w:r>
      <w:r w:rsidR="006D5E9B">
        <w:t xml:space="preserve">Alberta </w:t>
      </w:r>
      <w:r w:rsidR="00B37C89">
        <w:t xml:space="preserve">Credential Framework set out by the Government of Alberta.  </w:t>
      </w:r>
    </w:p>
    <w:p w14:paraId="62D6F36D" w14:textId="57ABF976" w:rsidR="00B37C89" w:rsidRDefault="00B77F5C" w:rsidP="00B77F5C">
      <w:pPr>
        <w:tabs>
          <w:tab w:val="left" w:pos="426"/>
        </w:tabs>
        <w:spacing w:after="0" w:line="240" w:lineRule="auto"/>
        <w:ind w:left="852"/>
      </w:pPr>
      <w:r>
        <w:t xml:space="preserve">6.1.3 </w:t>
      </w:r>
      <w:r w:rsidR="00B37C89">
        <w:t xml:space="preserve">Course credits </w:t>
      </w:r>
      <w:r w:rsidR="009420DA">
        <w:t xml:space="preserve">are determined in collaboration between the program chair, the registrar and the Quality Assurance and Research Department.  They </w:t>
      </w:r>
      <w:r w:rsidR="00B37C89">
        <w:t xml:space="preserve">will be assigned according to the approved documents filed with PAPRS.  </w:t>
      </w:r>
    </w:p>
    <w:p w14:paraId="7B8E12FC" w14:textId="77777777" w:rsidR="00B77F5C" w:rsidRDefault="00B77F5C" w:rsidP="00B77F5C">
      <w:pPr>
        <w:tabs>
          <w:tab w:val="left" w:pos="426"/>
        </w:tabs>
        <w:spacing w:after="0" w:line="240" w:lineRule="auto"/>
        <w:ind w:left="852"/>
      </w:pPr>
    </w:p>
    <w:p w14:paraId="5BE38D4A" w14:textId="1DC975A1" w:rsidR="00680ECC" w:rsidRPr="003F6CC8" w:rsidRDefault="00B77F5C" w:rsidP="00B77F5C">
      <w:pPr>
        <w:tabs>
          <w:tab w:val="left" w:pos="426"/>
        </w:tabs>
        <w:spacing w:after="0" w:line="240" w:lineRule="auto"/>
        <w:ind w:left="426"/>
        <w:rPr>
          <w:b/>
        </w:rPr>
      </w:pPr>
      <w:r w:rsidRPr="003F6CC8">
        <w:rPr>
          <w:b/>
        </w:rPr>
        <w:t>6.2 Course Nomenclature</w:t>
      </w:r>
    </w:p>
    <w:p w14:paraId="54B27050" w14:textId="187250F2" w:rsidR="00B77F5C" w:rsidRPr="002754D5" w:rsidRDefault="00B77F5C" w:rsidP="00B77F5C">
      <w:pPr>
        <w:tabs>
          <w:tab w:val="left" w:pos="426"/>
        </w:tabs>
        <w:spacing w:after="0" w:line="240" w:lineRule="auto"/>
        <w:ind w:left="720"/>
      </w:pPr>
      <w:r w:rsidRPr="002754D5">
        <w:t>6.2.1 Course Name</w:t>
      </w:r>
      <w:r w:rsidR="00351016" w:rsidRPr="002754D5">
        <w:t xml:space="preserve"> is limited to a </w:t>
      </w:r>
      <w:r w:rsidR="00F73324" w:rsidRPr="002754D5">
        <w:t>28-character</w:t>
      </w:r>
      <w:r w:rsidR="00351016" w:rsidRPr="002754D5">
        <w:t xml:space="preserve"> </w:t>
      </w:r>
      <w:r w:rsidR="008009FC" w:rsidRPr="002754D5">
        <w:t>m</w:t>
      </w:r>
      <w:r w:rsidR="00351016" w:rsidRPr="002754D5">
        <w:t>aximum.</w:t>
      </w:r>
    </w:p>
    <w:p w14:paraId="6E25D439" w14:textId="1479AAC8" w:rsidR="008B43A8" w:rsidRPr="002754D5" w:rsidRDefault="00442744" w:rsidP="008B43A8">
      <w:pPr>
        <w:pStyle w:val="ListParagraph"/>
        <w:numPr>
          <w:ilvl w:val="0"/>
          <w:numId w:val="15"/>
        </w:numPr>
        <w:tabs>
          <w:tab w:val="left" w:pos="426"/>
        </w:tabs>
        <w:spacing w:after="0" w:line="240" w:lineRule="auto"/>
      </w:pPr>
      <w:r w:rsidRPr="002754D5">
        <w:t>Courses offered in a series are to be numbered using roman numerals</w:t>
      </w:r>
      <w:r w:rsidR="008B43A8" w:rsidRPr="002754D5">
        <w:t>.</w:t>
      </w:r>
    </w:p>
    <w:p w14:paraId="575F8F07" w14:textId="2DC9F060" w:rsidR="008B43A8" w:rsidRPr="002754D5" w:rsidRDefault="008B43A8" w:rsidP="008B43A8">
      <w:pPr>
        <w:pStyle w:val="ListParagraph"/>
        <w:tabs>
          <w:tab w:val="left" w:pos="426"/>
        </w:tabs>
        <w:spacing w:after="0" w:line="240" w:lineRule="auto"/>
        <w:ind w:left="1440"/>
      </w:pPr>
      <w:proofErr w:type="spellStart"/>
      <w:r w:rsidRPr="002754D5">
        <w:t>Eg</w:t>
      </w:r>
      <w:proofErr w:type="spellEnd"/>
      <w:r w:rsidRPr="002754D5">
        <w:t xml:space="preserve">. </w:t>
      </w:r>
      <w:r w:rsidR="00442744" w:rsidRPr="002754D5">
        <w:t>ART 232 = Visual Fundamentals I, ART 233 = Visual Fundaments II)</w:t>
      </w:r>
    </w:p>
    <w:p w14:paraId="18F0F8A8" w14:textId="4BCC61C5" w:rsidR="008B43A8" w:rsidRPr="002754D5" w:rsidRDefault="00351016" w:rsidP="008B43A8">
      <w:pPr>
        <w:pStyle w:val="ListParagraph"/>
        <w:numPr>
          <w:ilvl w:val="0"/>
          <w:numId w:val="15"/>
        </w:numPr>
        <w:tabs>
          <w:tab w:val="left" w:pos="426"/>
        </w:tabs>
        <w:spacing w:after="0" w:line="240" w:lineRule="auto"/>
      </w:pPr>
      <w:r w:rsidRPr="002754D5">
        <w:t>Other numbers in the course name should be listed as numbers.</w:t>
      </w:r>
    </w:p>
    <w:p w14:paraId="7ACFACE3" w14:textId="5CED8E8B" w:rsidR="008B43A8" w:rsidRPr="002754D5" w:rsidRDefault="008B43A8" w:rsidP="008B43A8">
      <w:pPr>
        <w:tabs>
          <w:tab w:val="left" w:pos="426"/>
        </w:tabs>
        <w:spacing w:after="0" w:line="240" w:lineRule="auto"/>
        <w:ind w:left="1440"/>
      </w:pPr>
      <w:proofErr w:type="spellStart"/>
      <w:r w:rsidRPr="002754D5">
        <w:t>Eg</w:t>
      </w:r>
      <w:proofErr w:type="spellEnd"/>
      <w:r w:rsidRPr="002754D5">
        <w:t>. 2</w:t>
      </w:r>
      <w:r w:rsidRPr="002754D5">
        <w:rPr>
          <w:vertAlign w:val="superscript"/>
        </w:rPr>
        <w:t>nd</w:t>
      </w:r>
      <w:r w:rsidRPr="002754D5">
        <w:t xml:space="preserve"> British Empire instead of The Second British Empire </w:t>
      </w:r>
    </w:p>
    <w:p w14:paraId="0C54918F" w14:textId="71C1AAFF" w:rsidR="008B43A8" w:rsidRPr="002754D5" w:rsidRDefault="00351016" w:rsidP="008B43A8">
      <w:pPr>
        <w:pStyle w:val="ListParagraph"/>
        <w:numPr>
          <w:ilvl w:val="0"/>
          <w:numId w:val="15"/>
        </w:numPr>
        <w:tabs>
          <w:tab w:val="left" w:pos="426"/>
        </w:tabs>
        <w:spacing w:after="0" w:line="240" w:lineRule="auto"/>
      </w:pPr>
      <w:r w:rsidRPr="002754D5">
        <w:t>Use &amp; instead of “and”</w:t>
      </w:r>
      <w:r w:rsidR="008B43A8" w:rsidRPr="002754D5">
        <w:t>.</w:t>
      </w:r>
    </w:p>
    <w:p w14:paraId="14EB8DCC" w14:textId="19921FAB" w:rsidR="00442744" w:rsidRPr="002754D5" w:rsidRDefault="008B43A8" w:rsidP="008B43A8">
      <w:pPr>
        <w:tabs>
          <w:tab w:val="left" w:pos="426"/>
        </w:tabs>
        <w:spacing w:after="0" w:line="240" w:lineRule="auto"/>
        <w:ind w:left="1440"/>
      </w:pPr>
      <w:proofErr w:type="spellStart"/>
      <w:r w:rsidRPr="002754D5">
        <w:t>Eg</w:t>
      </w:r>
      <w:proofErr w:type="spellEnd"/>
      <w:r w:rsidRPr="002754D5">
        <w:t xml:space="preserve">. </w:t>
      </w:r>
      <w:r w:rsidR="00351016" w:rsidRPr="002754D5">
        <w:t>19</w:t>
      </w:r>
      <w:r w:rsidR="00351016" w:rsidRPr="002754D5">
        <w:rPr>
          <w:vertAlign w:val="superscript"/>
        </w:rPr>
        <w:t>th</w:t>
      </w:r>
      <w:r w:rsidR="00351016" w:rsidRPr="002754D5">
        <w:t xml:space="preserve"> &amp; 20</w:t>
      </w:r>
      <w:r w:rsidR="00351016" w:rsidRPr="002754D5">
        <w:rPr>
          <w:vertAlign w:val="superscript"/>
        </w:rPr>
        <w:t>th</w:t>
      </w:r>
      <w:r w:rsidR="00351016" w:rsidRPr="002754D5">
        <w:t xml:space="preserve"> Century” instead of Nineteenth and Twentieth Centuries</w:t>
      </w:r>
    </w:p>
    <w:p w14:paraId="114FF5C9" w14:textId="77777777" w:rsidR="00351016" w:rsidRPr="002754D5" w:rsidRDefault="00351016" w:rsidP="00B77F5C">
      <w:pPr>
        <w:tabs>
          <w:tab w:val="left" w:pos="426"/>
        </w:tabs>
        <w:spacing w:after="0" w:line="240" w:lineRule="auto"/>
        <w:ind w:left="720"/>
      </w:pPr>
    </w:p>
    <w:p w14:paraId="350401F5" w14:textId="77777777" w:rsidR="008B43A8" w:rsidRPr="003F6CC8" w:rsidRDefault="00694F52" w:rsidP="00B77F5C">
      <w:pPr>
        <w:tabs>
          <w:tab w:val="left" w:pos="426"/>
        </w:tabs>
        <w:spacing w:after="0" w:line="240" w:lineRule="auto"/>
        <w:ind w:left="720"/>
        <w:rPr>
          <w:b/>
        </w:rPr>
      </w:pPr>
      <w:r w:rsidRPr="003F6CC8">
        <w:rPr>
          <w:b/>
        </w:rPr>
        <w:t xml:space="preserve">6.2.2. Course Code </w:t>
      </w:r>
      <w:r w:rsidR="008B43A8" w:rsidRPr="003F6CC8">
        <w:rPr>
          <w:b/>
        </w:rPr>
        <w:t>Numbering</w:t>
      </w:r>
    </w:p>
    <w:p w14:paraId="26FDCD82" w14:textId="77777777" w:rsidR="008B43A8" w:rsidRPr="002754D5" w:rsidRDefault="008B43A8" w:rsidP="008B43A8">
      <w:pPr>
        <w:pStyle w:val="ListParagraph"/>
        <w:numPr>
          <w:ilvl w:val="0"/>
          <w:numId w:val="15"/>
        </w:numPr>
        <w:tabs>
          <w:tab w:val="left" w:pos="426"/>
        </w:tabs>
        <w:spacing w:after="0" w:line="240" w:lineRule="auto"/>
      </w:pPr>
      <w:r w:rsidRPr="002754D5">
        <w:t xml:space="preserve">Is </w:t>
      </w:r>
      <w:r w:rsidR="00694F52" w:rsidRPr="002754D5">
        <w:t>limited to 15</w:t>
      </w:r>
      <w:r w:rsidR="00CD6445" w:rsidRPr="002754D5">
        <w:t>-</w:t>
      </w:r>
      <w:r w:rsidR="00694F52" w:rsidRPr="002754D5">
        <w:t>character maximum, 3-8 letters followed by 3-4 numbers.</w:t>
      </w:r>
    </w:p>
    <w:p w14:paraId="6F1E581F" w14:textId="2030AC49" w:rsidR="00CD6445" w:rsidRPr="002754D5" w:rsidRDefault="00442744" w:rsidP="008B43A8">
      <w:pPr>
        <w:pStyle w:val="ListParagraph"/>
        <w:numPr>
          <w:ilvl w:val="0"/>
          <w:numId w:val="15"/>
        </w:numPr>
        <w:tabs>
          <w:tab w:val="left" w:pos="426"/>
        </w:tabs>
        <w:spacing w:after="0" w:line="240" w:lineRule="auto"/>
      </w:pPr>
      <w:r w:rsidRPr="002754D5">
        <w:t xml:space="preserve">Year 1 course numbers should begin with 1, year 2 course numbers should begin with 2, etc. </w:t>
      </w:r>
    </w:p>
    <w:p w14:paraId="064E1E33" w14:textId="77777777" w:rsidR="008B43A8" w:rsidRPr="002754D5" w:rsidRDefault="008B43A8" w:rsidP="008B43A8">
      <w:pPr>
        <w:tabs>
          <w:tab w:val="left" w:pos="426"/>
        </w:tabs>
        <w:spacing w:after="0" w:line="240" w:lineRule="auto"/>
      </w:pPr>
    </w:p>
    <w:p w14:paraId="4D59F791" w14:textId="1064A044" w:rsidR="00F67F07" w:rsidRPr="003F6CC8" w:rsidRDefault="008B43A8" w:rsidP="008B43A8">
      <w:pPr>
        <w:tabs>
          <w:tab w:val="left" w:pos="426"/>
        </w:tabs>
        <w:spacing w:after="0" w:line="240" w:lineRule="auto"/>
        <w:ind w:left="720"/>
        <w:rPr>
          <w:b/>
        </w:rPr>
      </w:pPr>
      <w:proofErr w:type="gramStart"/>
      <w:r w:rsidRPr="003F6CC8">
        <w:rPr>
          <w:b/>
        </w:rPr>
        <w:t>6.2.3  The</w:t>
      </w:r>
      <w:proofErr w:type="gramEnd"/>
      <w:r w:rsidRPr="003F6CC8">
        <w:rPr>
          <w:b/>
        </w:rPr>
        <w:t xml:space="preserve"> Alpha Code should be in line with the program</w:t>
      </w:r>
      <w:r w:rsidR="00F67F07" w:rsidRPr="003F6CC8">
        <w:rPr>
          <w:b/>
        </w:rPr>
        <w:t>.</w:t>
      </w:r>
      <w:r w:rsidRPr="003F6CC8">
        <w:rPr>
          <w:b/>
        </w:rPr>
        <w:t xml:space="preserve"> </w:t>
      </w:r>
    </w:p>
    <w:p w14:paraId="39733C6F" w14:textId="535C20D6" w:rsidR="008B43A8" w:rsidRPr="002754D5" w:rsidRDefault="00F67F07" w:rsidP="008B43A8">
      <w:pPr>
        <w:tabs>
          <w:tab w:val="left" w:pos="426"/>
        </w:tabs>
        <w:spacing w:after="0" w:line="240" w:lineRule="auto"/>
        <w:ind w:left="720"/>
      </w:pPr>
      <w:r w:rsidRPr="002754D5">
        <w:tab/>
      </w:r>
      <w:proofErr w:type="spellStart"/>
      <w:r w:rsidRPr="002754D5">
        <w:t>Eg</w:t>
      </w:r>
      <w:proofErr w:type="spellEnd"/>
      <w:r w:rsidRPr="002754D5">
        <w:t xml:space="preserve">.  </w:t>
      </w:r>
      <w:r w:rsidR="008B43A8" w:rsidRPr="002754D5">
        <w:t xml:space="preserve">BUS = business course, SOWK = social work course. </w:t>
      </w:r>
    </w:p>
    <w:p w14:paraId="0FD07E32" w14:textId="77777777" w:rsidR="008B43A8" w:rsidRPr="002754D5" w:rsidRDefault="008B43A8" w:rsidP="008B43A8">
      <w:pPr>
        <w:tabs>
          <w:tab w:val="left" w:pos="426"/>
        </w:tabs>
        <w:spacing w:after="0" w:line="240" w:lineRule="auto"/>
        <w:ind w:left="720"/>
      </w:pPr>
    </w:p>
    <w:p w14:paraId="74B7FDE5" w14:textId="7145B22F" w:rsidR="00694F52" w:rsidRDefault="008B43A8" w:rsidP="00B77F5C">
      <w:pPr>
        <w:tabs>
          <w:tab w:val="left" w:pos="426"/>
        </w:tabs>
        <w:spacing w:after="0" w:line="240" w:lineRule="auto"/>
        <w:ind w:left="720"/>
        <w:rPr>
          <w:b/>
        </w:rPr>
      </w:pPr>
      <w:proofErr w:type="gramStart"/>
      <w:r w:rsidRPr="003F6CC8">
        <w:rPr>
          <w:b/>
        </w:rPr>
        <w:t xml:space="preserve">6.2.4  </w:t>
      </w:r>
      <w:r w:rsidR="00CD6445" w:rsidRPr="003F6CC8">
        <w:rPr>
          <w:b/>
        </w:rPr>
        <w:t>A</w:t>
      </w:r>
      <w:proofErr w:type="gramEnd"/>
      <w:r w:rsidR="00CD6445" w:rsidRPr="003F6CC8">
        <w:rPr>
          <w:b/>
        </w:rPr>
        <w:t xml:space="preserve"> course code cannot be reused.</w:t>
      </w:r>
    </w:p>
    <w:p w14:paraId="19D19D74" w14:textId="77777777" w:rsidR="003F6CC8" w:rsidRPr="003F6CC8" w:rsidRDefault="003F6CC8" w:rsidP="00B77F5C">
      <w:pPr>
        <w:tabs>
          <w:tab w:val="left" w:pos="426"/>
        </w:tabs>
        <w:spacing w:after="0" w:line="240" w:lineRule="auto"/>
        <w:ind w:left="720"/>
        <w:rPr>
          <w:b/>
        </w:rPr>
      </w:pPr>
    </w:p>
    <w:p w14:paraId="6F63832B" w14:textId="77777777" w:rsidR="00B77F5C" w:rsidRPr="00680ECC" w:rsidRDefault="00B77F5C" w:rsidP="0011498D">
      <w:pPr>
        <w:tabs>
          <w:tab w:val="left" w:pos="426"/>
        </w:tabs>
        <w:spacing w:after="0" w:line="240" w:lineRule="auto"/>
      </w:pPr>
    </w:p>
    <w:p w14:paraId="3EC648CD" w14:textId="77777777" w:rsidR="00E45F2D" w:rsidRPr="00907481" w:rsidRDefault="0011498D" w:rsidP="0011498D">
      <w:pPr>
        <w:tabs>
          <w:tab w:val="left" w:pos="426"/>
        </w:tabs>
        <w:spacing w:after="120" w:line="240" w:lineRule="auto"/>
        <w:ind w:left="-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ab/>
      </w:r>
      <w:r w:rsidR="00E45F2D" w:rsidRPr="00907481">
        <w:rPr>
          <w:b/>
          <w:sz w:val="28"/>
          <w:szCs w:val="28"/>
        </w:rPr>
        <w:t>Roles &amp; Responsibilities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2269"/>
        <w:gridCol w:w="7512"/>
      </w:tblGrid>
      <w:tr w:rsidR="00E45F2D" w14:paraId="25F4BBDD" w14:textId="77777777" w:rsidTr="00E45F2D">
        <w:trPr>
          <w:trHeight w:val="286"/>
        </w:trPr>
        <w:tc>
          <w:tcPr>
            <w:tcW w:w="2269" w:type="dxa"/>
            <w:shd w:val="clear" w:color="auto" w:fill="000000" w:themeFill="text1"/>
          </w:tcPr>
          <w:p w14:paraId="57E3A5A1" w14:textId="77777777" w:rsidR="00E45F2D" w:rsidRPr="00E45F2D" w:rsidRDefault="00E45F2D" w:rsidP="00D87552">
            <w:pPr>
              <w:rPr>
                <w:b/>
                <w:color w:val="FFFFFF" w:themeColor="background1"/>
              </w:rPr>
            </w:pPr>
            <w:r w:rsidRPr="00E45F2D">
              <w:rPr>
                <w:b/>
                <w:color w:val="FFFFFF" w:themeColor="background1"/>
              </w:rPr>
              <w:t>STAKEHOLDER</w:t>
            </w:r>
          </w:p>
        </w:tc>
        <w:tc>
          <w:tcPr>
            <w:tcW w:w="7512" w:type="dxa"/>
            <w:shd w:val="clear" w:color="auto" w:fill="000000" w:themeFill="text1"/>
          </w:tcPr>
          <w:p w14:paraId="5356046D" w14:textId="77777777" w:rsidR="00E45F2D" w:rsidRPr="00E45F2D" w:rsidRDefault="00E45F2D" w:rsidP="00D87552">
            <w:pPr>
              <w:rPr>
                <w:b/>
                <w:color w:val="FFFFFF" w:themeColor="background1"/>
              </w:rPr>
            </w:pPr>
            <w:r w:rsidRPr="00E45F2D">
              <w:rPr>
                <w:b/>
                <w:color w:val="FFFFFF" w:themeColor="background1"/>
              </w:rPr>
              <w:t>RESPONSIBILTIES</w:t>
            </w:r>
          </w:p>
        </w:tc>
      </w:tr>
      <w:tr w:rsidR="00302118" w14:paraId="5C220EE3" w14:textId="77777777" w:rsidTr="00E45F2D">
        <w:trPr>
          <w:trHeight w:val="270"/>
        </w:trPr>
        <w:tc>
          <w:tcPr>
            <w:tcW w:w="2269" w:type="dxa"/>
          </w:tcPr>
          <w:p w14:paraId="38D7E733" w14:textId="52BB7AFD" w:rsidR="00302118" w:rsidRDefault="00500084" w:rsidP="00D87552">
            <w:r>
              <w:t xml:space="preserve">Office of the Registrar </w:t>
            </w:r>
          </w:p>
        </w:tc>
        <w:tc>
          <w:tcPr>
            <w:tcW w:w="7512" w:type="dxa"/>
          </w:tcPr>
          <w:p w14:paraId="4DCD682B" w14:textId="40602E01" w:rsidR="00302118" w:rsidRDefault="00500084" w:rsidP="000653BF">
            <w:pPr>
              <w:pStyle w:val="ListParagraph"/>
              <w:numPr>
                <w:ilvl w:val="0"/>
                <w:numId w:val="3"/>
              </w:numPr>
            </w:pPr>
            <w:r>
              <w:t xml:space="preserve">Align the credit calendar to reflect this policy.   </w:t>
            </w:r>
          </w:p>
        </w:tc>
      </w:tr>
      <w:tr w:rsidR="00E45F2D" w14:paraId="0B1EB08A" w14:textId="77777777" w:rsidTr="00E45F2D">
        <w:trPr>
          <w:trHeight w:val="270"/>
        </w:trPr>
        <w:tc>
          <w:tcPr>
            <w:tcW w:w="2269" w:type="dxa"/>
          </w:tcPr>
          <w:p w14:paraId="21A20F6E" w14:textId="62FECD02" w:rsidR="00E45F2D" w:rsidRDefault="00500084" w:rsidP="00D87552">
            <w:r>
              <w:t>Quality Assurance</w:t>
            </w:r>
          </w:p>
        </w:tc>
        <w:tc>
          <w:tcPr>
            <w:tcW w:w="7512" w:type="dxa"/>
          </w:tcPr>
          <w:p w14:paraId="6136B731" w14:textId="028A6F05" w:rsidR="000653BF" w:rsidRDefault="00500084" w:rsidP="000653BF">
            <w:pPr>
              <w:pStyle w:val="ListParagraph"/>
              <w:numPr>
                <w:ilvl w:val="0"/>
                <w:numId w:val="3"/>
              </w:numPr>
            </w:pPr>
            <w:r>
              <w:t>Ensure change requests meet policy requirements.</w:t>
            </w:r>
          </w:p>
        </w:tc>
      </w:tr>
      <w:tr w:rsidR="00E45F2D" w14:paraId="2B530559" w14:textId="77777777" w:rsidTr="00E45F2D">
        <w:trPr>
          <w:trHeight w:val="286"/>
        </w:trPr>
        <w:tc>
          <w:tcPr>
            <w:tcW w:w="2269" w:type="dxa"/>
          </w:tcPr>
          <w:p w14:paraId="33675A87" w14:textId="71AC758A" w:rsidR="00E45F2D" w:rsidRDefault="00500084" w:rsidP="00D87552">
            <w:r>
              <w:t xml:space="preserve">Deans </w:t>
            </w:r>
          </w:p>
        </w:tc>
        <w:tc>
          <w:tcPr>
            <w:tcW w:w="7512" w:type="dxa"/>
          </w:tcPr>
          <w:p w14:paraId="1F08AFF5" w14:textId="76D35D0A" w:rsidR="00302118" w:rsidRDefault="00500084" w:rsidP="000201AE">
            <w:pPr>
              <w:pStyle w:val="ListParagraph"/>
              <w:numPr>
                <w:ilvl w:val="0"/>
                <w:numId w:val="4"/>
              </w:numPr>
            </w:pPr>
            <w:r>
              <w:t>Ensure programs and courses are updated to meet policy requirements.</w:t>
            </w:r>
          </w:p>
        </w:tc>
      </w:tr>
      <w:tr w:rsidR="00E45F2D" w14:paraId="0F822C4C" w14:textId="77777777" w:rsidTr="00E45F2D">
        <w:trPr>
          <w:trHeight w:val="270"/>
        </w:trPr>
        <w:tc>
          <w:tcPr>
            <w:tcW w:w="2269" w:type="dxa"/>
          </w:tcPr>
          <w:p w14:paraId="2B00FBC7" w14:textId="4A359A45" w:rsidR="00E45F2D" w:rsidRDefault="00500084" w:rsidP="00D87552">
            <w:r>
              <w:t xml:space="preserve">VPA </w:t>
            </w:r>
          </w:p>
        </w:tc>
        <w:tc>
          <w:tcPr>
            <w:tcW w:w="7512" w:type="dxa"/>
          </w:tcPr>
          <w:p w14:paraId="5FC7CFF7" w14:textId="2DC45E9F" w:rsidR="00E45F2D" w:rsidRDefault="00500084" w:rsidP="000201AE">
            <w:pPr>
              <w:pStyle w:val="ListParagraph"/>
              <w:numPr>
                <w:ilvl w:val="0"/>
                <w:numId w:val="5"/>
              </w:numPr>
            </w:pPr>
            <w:r>
              <w:t xml:space="preserve">Ensure compliance with Alberta Credentials Framework and Post Secondary Learning Act.  </w:t>
            </w:r>
          </w:p>
        </w:tc>
      </w:tr>
    </w:tbl>
    <w:p w14:paraId="34D4FFA7" w14:textId="27623B56" w:rsidR="0011498D" w:rsidRDefault="0011498D" w:rsidP="00D87552"/>
    <w:p w14:paraId="7E8B1B25" w14:textId="399D5087" w:rsidR="003F6CC8" w:rsidRDefault="003F6CC8" w:rsidP="00D87552"/>
    <w:p w14:paraId="63272F12" w14:textId="77777777" w:rsidR="003F6CC8" w:rsidRDefault="003F6CC8" w:rsidP="00D87552"/>
    <w:p w14:paraId="6A6084EE" w14:textId="77777777" w:rsidR="003040C5" w:rsidRPr="00907481" w:rsidRDefault="00907481" w:rsidP="00907481">
      <w:pPr>
        <w:rPr>
          <w:b/>
          <w:sz w:val="28"/>
          <w:szCs w:val="28"/>
        </w:rPr>
      </w:pPr>
      <w:r w:rsidRPr="00907481">
        <w:rPr>
          <w:b/>
          <w:sz w:val="28"/>
          <w:szCs w:val="28"/>
        </w:rPr>
        <w:t>8.</w:t>
      </w:r>
      <w:r w:rsidRPr="00907481">
        <w:rPr>
          <w:b/>
          <w:sz w:val="28"/>
          <w:szCs w:val="28"/>
        </w:rPr>
        <w:tab/>
        <w:t>Policy Management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2547"/>
        <w:gridCol w:w="7234"/>
      </w:tblGrid>
      <w:tr w:rsidR="003040C5" w14:paraId="0B9D50FF" w14:textId="77777777" w:rsidTr="00E45F2D">
        <w:tc>
          <w:tcPr>
            <w:tcW w:w="2547" w:type="dxa"/>
          </w:tcPr>
          <w:p w14:paraId="13D88172" w14:textId="77777777" w:rsidR="003040C5" w:rsidRDefault="003040C5" w:rsidP="00D87552">
            <w:r>
              <w:t>Policy Title:</w:t>
            </w:r>
          </w:p>
        </w:tc>
        <w:tc>
          <w:tcPr>
            <w:tcW w:w="7234" w:type="dxa"/>
          </w:tcPr>
          <w:p w14:paraId="73EAA3DD" w14:textId="4A84043E" w:rsidR="003040C5" w:rsidRDefault="006D5E9B" w:rsidP="00D87552">
            <w:r>
              <w:t xml:space="preserve">Course Credit Policy </w:t>
            </w:r>
          </w:p>
        </w:tc>
      </w:tr>
      <w:tr w:rsidR="003040C5" w14:paraId="75742CC3" w14:textId="77777777" w:rsidTr="00E45F2D">
        <w:tc>
          <w:tcPr>
            <w:tcW w:w="2547" w:type="dxa"/>
          </w:tcPr>
          <w:p w14:paraId="2D38F5EB" w14:textId="77777777" w:rsidR="003040C5" w:rsidRDefault="003040C5" w:rsidP="00D87552">
            <w:r>
              <w:t>Approval Date:</w:t>
            </w:r>
          </w:p>
        </w:tc>
        <w:tc>
          <w:tcPr>
            <w:tcW w:w="7234" w:type="dxa"/>
          </w:tcPr>
          <w:p w14:paraId="7D3F0372" w14:textId="78D54E99" w:rsidR="003040C5" w:rsidRDefault="00E25809" w:rsidP="00D87552">
            <w:r>
              <w:t>February 26, 2020</w:t>
            </w:r>
          </w:p>
        </w:tc>
      </w:tr>
      <w:tr w:rsidR="003040C5" w14:paraId="076974DB" w14:textId="77777777" w:rsidTr="00E45F2D">
        <w:tc>
          <w:tcPr>
            <w:tcW w:w="2547" w:type="dxa"/>
          </w:tcPr>
          <w:p w14:paraId="04E63AE4" w14:textId="77777777" w:rsidR="003040C5" w:rsidRDefault="003040C5" w:rsidP="00D87552">
            <w:r>
              <w:t>Effective Date:</w:t>
            </w:r>
          </w:p>
        </w:tc>
        <w:tc>
          <w:tcPr>
            <w:tcW w:w="7234" w:type="dxa"/>
          </w:tcPr>
          <w:p w14:paraId="0F6DEEA9" w14:textId="2B1BE737" w:rsidR="003040C5" w:rsidRDefault="00E25809" w:rsidP="00D87552">
            <w:r>
              <w:t>February 26, 2020</w:t>
            </w:r>
          </w:p>
        </w:tc>
      </w:tr>
      <w:tr w:rsidR="003040C5" w14:paraId="63B25E68" w14:textId="77777777" w:rsidTr="00E45F2D">
        <w:tc>
          <w:tcPr>
            <w:tcW w:w="2547" w:type="dxa"/>
          </w:tcPr>
          <w:p w14:paraId="73B4B685" w14:textId="77777777" w:rsidR="003040C5" w:rsidRDefault="003040C5" w:rsidP="00D87552">
            <w:r>
              <w:t>Historical Review Dates:</w:t>
            </w:r>
          </w:p>
        </w:tc>
        <w:tc>
          <w:tcPr>
            <w:tcW w:w="7234" w:type="dxa"/>
          </w:tcPr>
          <w:p w14:paraId="76CAF8A9" w14:textId="1E49FB4E" w:rsidR="003040C5" w:rsidRDefault="006D5E9B" w:rsidP="00D87552">
            <w:r>
              <w:t>N/A</w:t>
            </w:r>
          </w:p>
        </w:tc>
      </w:tr>
      <w:tr w:rsidR="003040C5" w14:paraId="31A323CB" w14:textId="77777777" w:rsidTr="00E45F2D">
        <w:tc>
          <w:tcPr>
            <w:tcW w:w="2547" w:type="dxa"/>
          </w:tcPr>
          <w:p w14:paraId="4CDCB517" w14:textId="77777777" w:rsidR="003040C5" w:rsidRDefault="003040C5" w:rsidP="00D87552">
            <w:r>
              <w:t>Next Review Date:</w:t>
            </w:r>
          </w:p>
        </w:tc>
        <w:tc>
          <w:tcPr>
            <w:tcW w:w="7234" w:type="dxa"/>
          </w:tcPr>
          <w:p w14:paraId="4A1C101E" w14:textId="0C8B3861" w:rsidR="003040C5" w:rsidRDefault="00E25809" w:rsidP="00D87552">
            <w:r>
              <w:t>February, 2025</w:t>
            </w:r>
          </w:p>
        </w:tc>
      </w:tr>
      <w:tr w:rsidR="003040C5" w14:paraId="5C4B01E8" w14:textId="77777777" w:rsidTr="00E45F2D">
        <w:tc>
          <w:tcPr>
            <w:tcW w:w="2547" w:type="dxa"/>
          </w:tcPr>
          <w:p w14:paraId="5AA0F4DE" w14:textId="77777777" w:rsidR="003040C5" w:rsidRDefault="003040C5" w:rsidP="00D87552">
            <w:r>
              <w:t>Related Legislation:</w:t>
            </w:r>
          </w:p>
        </w:tc>
        <w:tc>
          <w:tcPr>
            <w:tcW w:w="7234" w:type="dxa"/>
          </w:tcPr>
          <w:p w14:paraId="6BDEC57B" w14:textId="12631D71" w:rsidR="003040C5" w:rsidRDefault="006D5E9B" w:rsidP="006D5E9B">
            <w:r>
              <w:t>Post-Secondary Learning Act</w:t>
            </w:r>
          </w:p>
        </w:tc>
      </w:tr>
      <w:tr w:rsidR="003040C5" w14:paraId="7D3FDC49" w14:textId="77777777" w:rsidTr="00E45F2D">
        <w:tc>
          <w:tcPr>
            <w:tcW w:w="2547" w:type="dxa"/>
          </w:tcPr>
          <w:p w14:paraId="449515CB" w14:textId="77777777" w:rsidR="003040C5" w:rsidRDefault="003040C5" w:rsidP="00D87552">
            <w:r>
              <w:t>Supersedes Policies:</w:t>
            </w:r>
          </w:p>
        </w:tc>
        <w:tc>
          <w:tcPr>
            <w:tcW w:w="7234" w:type="dxa"/>
          </w:tcPr>
          <w:p w14:paraId="2671F7E5" w14:textId="77777777" w:rsidR="003040C5" w:rsidRDefault="003040C5" w:rsidP="0011498D">
            <w:pPr>
              <w:pStyle w:val="ListParagraph"/>
            </w:pPr>
          </w:p>
        </w:tc>
      </w:tr>
      <w:tr w:rsidR="003040C5" w14:paraId="7FFA3F65" w14:textId="77777777" w:rsidTr="00E45F2D">
        <w:tc>
          <w:tcPr>
            <w:tcW w:w="2547" w:type="dxa"/>
          </w:tcPr>
          <w:p w14:paraId="15F2E365" w14:textId="77777777" w:rsidR="003040C5" w:rsidRDefault="003040C5" w:rsidP="00D87552">
            <w:r>
              <w:t>Monitoring</w:t>
            </w:r>
            <w:r w:rsidR="00F1502C">
              <w:t>/Frequency</w:t>
            </w:r>
            <w:r>
              <w:t>:</w:t>
            </w:r>
          </w:p>
        </w:tc>
        <w:tc>
          <w:tcPr>
            <w:tcW w:w="7234" w:type="dxa"/>
          </w:tcPr>
          <w:p w14:paraId="220A4B5F" w14:textId="61AD9697" w:rsidR="0080083E" w:rsidRDefault="00CF3290" w:rsidP="006D5E9B">
            <w:r>
              <w:t>5</w:t>
            </w:r>
            <w:r w:rsidR="006D5E9B">
              <w:t xml:space="preserve"> years</w:t>
            </w:r>
          </w:p>
        </w:tc>
      </w:tr>
      <w:tr w:rsidR="003040C5" w14:paraId="33984AD2" w14:textId="77777777" w:rsidTr="00E45F2D">
        <w:tc>
          <w:tcPr>
            <w:tcW w:w="2547" w:type="dxa"/>
          </w:tcPr>
          <w:p w14:paraId="3E5EF543" w14:textId="77777777" w:rsidR="003040C5" w:rsidRDefault="003040C5" w:rsidP="003040C5">
            <w:r>
              <w:t>Policy Owner:</w:t>
            </w:r>
          </w:p>
        </w:tc>
        <w:tc>
          <w:tcPr>
            <w:tcW w:w="7234" w:type="dxa"/>
          </w:tcPr>
          <w:p w14:paraId="5BF3D0A6" w14:textId="710923D4" w:rsidR="003040C5" w:rsidRDefault="006D5E9B" w:rsidP="00D87552">
            <w:r>
              <w:t>VP Academic</w:t>
            </w:r>
          </w:p>
        </w:tc>
      </w:tr>
      <w:tr w:rsidR="003040C5" w14:paraId="4841684C" w14:textId="77777777" w:rsidTr="00E45F2D">
        <w:tc>
          <w:tcPr>
            <w:tcW w:w="2547" w:type="dxa"/>
          </w:tcPr>
          <w:p w14:paraId="747B1DF2" w14:textId="77777777" w:rsidR="003040C5" w:rsidRDefault="003040C5" w:rsidP="00D87552">
            <w:r>
              <w:t>Policy Administrator:</w:t>
            </w:r>
          </w:p>
        </w:tc>
        <w:tc>
          <w:tcPr>
            <w:tcW w:w="7234" w:type="dxa"/>
          </w:tcPr>
          <w:p w14:paraId="3238CDF1" w14:textId="20610BF7" w:rsidR="003040C5" w:rsidRDefault="00B562EA" w:rsidP="00D87552">
            <w:r>
              <w:t xml:space="preserve">Office of the </w:t>
            </w:r>
            <w:bookmarkStart w:id="0" w:name="_GoBack"/>
            <w:bookmarkEnd w:id="0"/>
            <w:r w:rsidR="006D5E9B">
              <w:t xml:space="preserve">Registrar </w:t>
            </w:r>
          </w:p>
        </w:tc>
      </w:tr>
      <w:tr w:rsidR="003040C5" w14:paraId="4D7CB7A7" w14:textId="77777777" w:rsidTr="00E45F2D">
        <w:tc>
          <w:tcPr>
            <w:tcW w:w="2547" w:type="dxa"/>
          </w:tcPr>
          <w:p w14:paraId="104B0BF8" w14:textId="77777777" w:rsidR="003040C5" w:rsidRDefault="00663F35" w:rsidP="00D87552">
            <w:r>
              <w:t>Policy Coordinator</w:t>
            </w:r>
            <w:r w:rsidR="003040C5">
              <w:t>:</w:t>
            </w:r>
          </w:p>
        </w:tc>
        <w:tc>
          <w:tcPr>
            <w:tcW w:w="7234" w:type="dxa"/>
          </w:tcPr>
          <w:p w14:paraId="2A16F333" w14:textId="25264996" w:rsidR="003040C5" w:rsidRDefault="006D5E9B" w:rsidP="00D87552">
            <w:r>
              <w:t>Executive Assistant to the VP Academic</w:t>
            </w:r>
          </w:p>
        </w:tc>
      </w:tr>
    </w:tbl>
    <w:p w14:paraId="449E707D" w14:textId="3A121925" w:rsidR="003040C5" w:rsidRDefault="003040C5" w:rsidP="00D87552"/>
    <w:p w14:paraId="63B54D69" w14:textId="41D94B28" w:rsidR="001B5FDD" w:rsidRDefault="001B5FDD" w:rsidP="00CF3290"/>
    <w:sectPr w:rsidR="001B5FDD" w:rsidSect="00907481">
      <w:headerReference w:type="default" r:id="rId11"/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BF2D4" w14:textId="77777777" w:rsidR="00DE3593" w:rsidRDefault="00DE3593" w:rsidP="00D87552">
      <w:pPr>
        <w:spacing w:after="0" w:line="240" w:lineRule="auto"/>
      </w:pPr>
      <w:r>
        <w:separator/>
      </w:r>
    </w:p>
  </w:endnote>
  <w:endnote w:type="continuationSeparator" w:id="0">
    <w:p w14:paraId="799293E9" w14:textId="77777777" w:rsidR="00DE3593" w:rsidRDefault="00DE3593" w:rsidP="00D8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1CF1D" w14:textId="77777777" w:rsidR="00DE3593" w:rsidRDefault="00DE3593" w:rsidP="00D87552">
      <w:pPr>
        <w:spacing w:after="0" w:line="240" w:lineRule="auto"/>
      </w:pPr>
      <w:r>
        <w:separator/>
      </w:r>
    </w:p>
  </w:footnote>
  <w:footnote w:type="continuationSeparator" w:id="0">
    <w:p w14:paraId="33AE395A" w14:textId="77777777" w:rsidR="00DE3593" w:rsidRDefault="00DE3593" w:rsidP="00D87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809DD" w14:textId="77777777" w:rsidR="00D87552" w:rsidRDefault="00D87552">
    <w:pPr>
      <w:pStyle w:val="Header"/>
    </w:pPr>
    <w:r w:rsidRPr="00694CD1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123437A3" wp14:editId="78472AD3">
          <wp:simplePos x="0" y="0"/>
          <wp:positionH relativeFrom="margin">
            <wp:posOffset>4210050</wp:posOffset>
          </wp:positionH>
          <wp:positionV relativeFrom="paragraph">
            <wp:posOffset>-86360</wp:posOffset>
          </wp:positionV>
          <wp:extent cx="1724025" cy="533400"/>
          <wp:effectExtent l="0" t="0" r="9525" b="0"/>
          <wp:wrapTight wrapText="bothSides">
            <wp:wrapPolygon edited="0">
              <wp:start x="0" y="0"/>
              <wp:lineTo x="0" y="20829"/>
              <wp:lineTo x="21481" y="20829"/>
              <wp:lineTo x="21481" y="0"/>
              <wp:lineTo x="0" y="0"/>
            </wp:wrapPolygon>
          </wp:wrapTight>
          <wp:docPr id="8" name="Picture 8" descr="Q:\Marketing &amp; graphic Design\2013-2014\Bookmarks\Fitness Leadership\Links\KC_logo_Horz_No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Marketing &amp; graphic Design\2013-2014\Bookmarks\Fitness Leadership\Links\KC_logo_Horz_No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9F375B" w14:textId="77777777" w:rsidR="00D87552" w:rsidRDefault="00D87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134"/>
    <w:multiLevelType w:val="hybridMultilevel"/>
    <w:tmpl w:val="C7DE1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F010B"/>
    <w:multiLevelType w:val="hybridMultilevel"/>
    <w:tmpl w:val="72B2B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3D53"/>
    <w:multiLevelType w:val="hybridMultilevel"/>
    <w:tmpl w:val="3B86E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AC487F"/>
    <w:multiLevelType w:val="hybridMultilevel"/>
    <w:tmpl w:val="FFB203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57465"/>
    <w:multiLevelType w:val="hybridMultilevel"/>
    <w:tmpl w:val="E33AE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8520B"/>
    <w:multiLevelType w:val="hybridMultilevel"/>
    <w:tmpl w:val="DBCA8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962CC"/>
    <w:multiLevelType w:val="hybridMultilevel"/>
    <w:tmpl w:val="E1B0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915B3"/>
    <w:multiLevelType w:val="hybridMultilevel"/>
    <w:tmpl w:val="7326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B6F0F"/>
    <w:multiLevelType w:val="hybridMultilevel"/>
    <w:tmpl w:val="A89AA7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F7612"/>
    <w:multiLevelType w:val="hybridMultilevel"/>
    <w:tmpl w:val="AFAAB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731157"/>
    <w:multiLevelType w:val="multilevel"/>
    <w:tmpl w:val="DCC287B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A634F1"/>
    <w:multiLevelType w:val="hybridMultilevel"/>
    <w:tmpl w:val="499AF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B6A82"/>
    <w:multiLevelType w:val="hybridMultilevel"/>
    <w:tmpl w:val="39A87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33F12"/>
    <w:multiLevelType w:val="hybridMultilevel"/>
    <w:tmpl w:val="C14E465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70926CEE"/>
    <w:multiLevelType w:val="hybridMultilevel"/>
    <w:tmpl w:val="8B189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72EE4"/>
    <w:multiLevelType w:val="hybridMultilevel"/>
    <w:tmpl w:val="2C3E9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15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12"/>
  </w:num>
  <w:num w:numId="12">
    <w:abstractNumId w:val="7"/>
  </w:num>
  <w:num w:numId="13">
    <w:abstractNumId w:val="9"/>
  </w:num>
  <w:num w:numId="14">
    <w:abstractNumId w:val="1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52"/>
    <w:rsid w:val="00016C1B"/>
    <w:rsid w:val="000201AE"/>
    <w:rsid w:val="0002529D"/>
    <w:rsid w:val="00026FE3"/>
    <w:rsid w:val="000320F7"/>
    <w:rsid w:val="00035D48"/>
    <w:rsid w:val="0006067A"/>
    <w:rsid w:val="000653BF"/>
    <w:rsid w:val="000D395D"/>
    <w:rsid w:val="000E27BB"/>
    <w:rsid w:val="0011498D"/>
    <w:rsid w:val="00133335"/>
    <w:rsid w:val="0015650F"/>
    <w:rsid w:val="001B25FA"/>
    <w:rsid w:val="001B5FDD"/>
    <w:rsid w:val="001D539C"/>
    <w:rsid w:val="002071D0"/>
    <w:rsid w:val="00216A27"/>
    <w:rsid w:val="00231771"/>
    <w:rsid w:val="00240B4B"/>
    <w:rsid w:val="00266FB8"/>
    <w:rsid w:val="002754D5"/>
    <w:rsid w:val="002A1D2C"/>
    <w:rsid w:val="002A28BD"/>
    <w:rsid w:val="002D124E"/>
    <w:rsid w:val="002E10D5"/>
    <w:rsid w:val="002E1F65"/>
    <w:rsid w:val="002E58AB"/>
    <w:rsid w:val="00302118"/>
    <w:rsid w:val="003040C5"/>
    <w:rsid w:val="003152F0"/>
    <w:rsid w:val="00326D05"/>
    <w:rsid w:val="0034143E"/>
    <w:rsid w:val="00351016"/>
    <w:rsid w:val="00384BAE"/>
    <w:rsid w:val="003B6C3C"/>
    <w:rsid w:val="003D41B0"/>
    <w:rsid w:val="003E4006"/>
    <w:rsid w:val="003E4792"/>
    <w:rsid w:val="003F6CC8"/>
    <w:rsid w:val="00414F1C"/>
    <w:rsid w:val="00442744"/>
    <w:rsid w:val="004457E6"/>
    <w:rsid w:val="00497F11"/>
    <w:rsid w:val="004A571A"/>
    <w:rsid w:val="004E290F"/>
    <w:rsid w:val="00500084"/>
    <w:rsid w:val="005036A7"/>
    <w:rsid w:val="00521AED"/>
    <w:rsid w:val="00526724"/>
    <w:rsid w:val="0052685D"/>
    <w:rsid w:val="00536E93"/>
    <w:rsid w:val="00556CAB"/>
    <w:rsid w:val="00565EEC"/>
    <w:rsid w:val="006173D5"/>
    <w:rsid w:val="00662174"/>
    <w:rsid w:val="00663F35"/>
    <w:rsid w:val="00664AE4"/>
    <w:rsid w:val="006667D2"/>
    <w:rsid w:val="00680ECC"/>
    <w:rsid w:val="00694F52"/>
    <w:rsid w:val="006B06F3"/>
    <w:rsid w:val="006D5E9B"/>
    <w:rsid w:val="006E2BE0"/>
    <w:rsid w:val="00705A0C"/>
    <w:rsid w:val="00710ED1"/>
    <w:rsid w:val="007273B2"/>
    <w:rsid w:val="00760B46"/>
    <w:rsid w:val="00766273"/>
    <w:rsid w:val="0078058B"/>
    <w:rsid w:val="007A132F"/>
    <w:rsid w:val="007C1A1B"/>
    <w:rsid w:val="007C687A"/>
    <w:rsid w:val="0080083E"/>
    <w:rsid w:val="008009FC"/>
    <w:rsid w:val="008073C6"/>
    <w:rsid w:val="00843E9B"/>
    <w:rsid w:val="008625F3"/>
    <w:rsid w:val="008737EF"/>
    <w:rsid w:val="008B43A8"/>
    <w:rsid w:val="008F13F9"/>
    <w:rsid w:val="00907481"/>
    <w:rsid w:val="00923D72"/>
    <w:rsid w:val="00936596"/>
    <w:rsid w:val="009413C7"/>
    <w:rsid w:val="009420DA"/>
    <w:rsid w:val="00942733"/>
    <w:rsid w:val="00951537"/>
    <w:rsid w:val="009C4B6D"/>
    <w:rsid w:val="009D64E6"/>
    <w:rsid w:val="009E3EEC"/>
    <w:rsid w:val="00A037FD"/>
    <w:rsid w:val="00A15572"/>
    <w:rsid w:val="00A86BAE"/>
    <w:rsid w:val="00A955EB"/>
    <w:rsid w:val="00A97175"/>
    <w:rsid w:val="00AB3949"/>
    <w:rsid w:val="00AD7AB6"/>
    <w:rsid w:val="00AE7ABE"/>
    <w:rsid w:val="00AF6B76"/>
    <w:rsid w:val="00B10171"/>
    <w:rsid w:val="00B37C89"/>
    <w:rsid w:val="00B562EA"/>
    <w:rsid w:val="00B72570"/>
    <w:rsid w:val="00B77F5C"/>
    <w:rsid w:val="00BB61DF"/>
    <w:rsid w:val="00BC13DA"/>
    <w:rsid w:val="00BD7BC2"/>
    <w:rsid w:val="00C223C4"/>
    <w:rsid w:val="00C23A22"/>
    <w:rsid w:val="00C570A8"/>
    <w:rsid w:val="00C718EF"/>
    <w:rsid w:val="00C81F5F"/>
    <w:rsid w:val="00CD6445"/>
    <w:rsid w:val="00CF3290"/>
    <w:rsid w:val="00D61981"/>
    <w:rsid w:val="00D87552"/>
    <w:rsid w:val="00DA2991"/>
    <w:rsid w:val="00DE3593"/>
    <w:rsid w:val="00DE46F4"/>
    <w:rsid w:val="00DE62C3"/>
    <w:rsid w:val="00DF09CE"/>
    <w:rsid w:val="00E172C0"/>
    <w:rsid w:val="00E25809"/>
    <w:rsid w:val="00E45F2D"/>
    <w:rsid w:val="00E977E2"/>
    <w:rsid w:val="00EB35E5"/>
    <w:rsid w:val="00EF5DDF"/>
    <w:rsid w:val="00F1502C"/>
    <w:rsid w:val="00F21492"/>
    <w:rsid w:val="00F465F7"/>
    <w:rsid w:val="00F67F07"/>
    <w:rsid w:val="00F73324"/>
    <w:rsid w:val="00F7481C"/>
    <w:rsid w:val="00F8137B"/>
    <w:rsid w:val="00FC5386"/>
    <w:rsid w:val="00FE1CD7"/>
    <w:rsid w:val="00F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B985C2"/>
  <w15:chartTrackingRefBased/>
  <w15:docId w15:val="{969CAF6C-D119-4E0A-8A35-5E60B919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5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7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552"/>
  </w:style>
  <w:style w:type="paragraph" w:styleId="Footer">
    <w:name w:val="footer"/>
    <w:basedOn w:val="Normal"/>
    <w:link w:val="FooterChar"/>
    <w:uiPriority w:val="99"/>
    <w:unhideWhenUsed/>
    <w:rsid w:val="00D87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552"/>
  </w:style>
  <w:style w:type="table" w:styleId="TableGrid">
    <w:name w:val="Table Grid"/>
    <w:basedOn w:val="TableNormal"/>
    <w:uiPriority w:val="39"/>
    <w:rsid w:val="00D8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521AED"/>
  </w:style>
  <w:style w:type="paragraph" w:styleId="ListParagraph">
    <w:name w:val="List Paragraph"/>
    <w:basedOn w:val="Normal"/>
    <w:uiPriority w:val="34"/>
    <w:qFormat/>
    <w:rsid w:val="002071D0"/>
    <w:pPr>
      <w:ind w:left="720"/>
      <w:contextualSpacing/>
    </w:pPr>
  </w:style>
  <w:style w:type="paragraph" w:customStyle="1" w:styleId="Default">
    <w:name w:val="Default"/>
    <w:rsid w:val="00AE7A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6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5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523313A7D3E4A8705D723870B6FD2" ma:contentTypeVersion="1" ma:contentTypeDescription="Create a new document." ma:contentTypeScope="" ma:versionID="e78a20753b3d9760334de3b550a79442">
  <xsd:schema xmlns:xsd="http://www.w3.org/2001/XMLSchema" xmlns:xs="http://www.w3.org/2001/XMLSchema" xmlns:p="http://schemas.microsoft.com/office/2006/metadata/properties" xmlns:ns2="47f382a3-7e5c-4a56-937d-2cf2099ea640" xmlns:ns3="http://schemas.microsoft.com/sharepoint/v4" targetNamespace="http://schemas.microsoft.com/office/2006/metadata/properties" ma:root="true" ma:fieldsID="8334dc140e3e166fe2c82d5832023d12" ns2:_="" ns3:_="">
    <xsd:import namespace="47f382a3-7e5c-4a56-937d-2cf2099ea64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382a3-7e5c-4a56-937d-2cf2099ea64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47f382a3-7e5c-4a56-937d-2cf2099ea640">EPD3S3JM43C7-423-96</_dlc_DocId>
    <_dlc_DocIdUrl xmlns="47f382a3-7e5c-4a56-937d-2cf2099ea640">
      <Url>http://connect.keyano.ca/_layouts/DocIdRedir.aspx?ID=EPD3S3JM43C7-423-96</Url>
      <Description>EPD3S3JM43C7-423-96</Description>
    </_dlc_DocIdUrl>
  </documentManagement>
</p:properties>
</file>

<file path=customXml/itemProps1.xml><?xml version="1.0" encoding="utf-8"?>
<ds:datastoreItem xmlns:ds="http://schemas.openxmlformats.org/officeDocument/2006/customXml" ds:itemID="{294F5D00-B84E-40C7-9FA1-9373346D5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69B45-C1AD-40CD-963B-93130FD8D3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A6C939-A46C-4AEB-9ADF-CB5E46E0E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382a3-7e5c-4a56-937d-2cf2099ea64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886980-5D96-40E3-807A-F5A957BA6CEB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47f382a3-7e5c-4a56-937d-2cf2099ea640"/>
    <ds:schemaRef ds:uri="http://schemas.microsoft.com/sharepoint/v4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Development Template</vt:lpstr>
    </vt:vector>
  </TitlesOfParts>
  <Company>Keyano College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Development Template</dc:title>
  <dc:subject/>
  <dc:creator>Louisa Khalil</dc:creator>
  <cp:keywords/>
  <dc:description/>
  <cp:lastModifiedBy>Judy Best</cp:lastModifiedBy>
  <cp:revision>4</cp:revision>
  <cp:lastPrinted>2019-10-29T14:56:00Z</cp:lastPrinted>
  <dcterms:created xsi:type="dcterms:W3CDTF">2020-01-28T20:51:00Z</dcterms:created>
  <dcterms:modified xsi:type="dcterms:W3CDTF">2020-02-26T17:29:00Z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0x0101003F0523313A7D3E4A8705D723870B6FD2</vt:lpwstr>
  </property>
  <property fmtid="{D5CDD505-2E9C-101B-9397-08002B2CF9AE}" pid="3" name="_dlc_DocIdItemGuid">
    <vt:lpwstr>4c2cf711-8aa9-4bb7-8965-f74f47e5c6a2</vt:lpwstr>
  </property>
</Properties>
</file>