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142" w:type="dxa"/>
        <w:tblLayout w:type="fixed"/>
        <w:tblLook w:val="04A0" w:firstRow="1" w:lastRow="0" w:firstColumn="1" w:lastColumn="0" w:noHBand="0" w:noVBand="1"/>
      </w:tblPr>
      <w:tblGrid>
        <w:gridCol w:w="1519"/>
        <w:gridCol w:w="1683"/>
        <w:gridCol w:w="1710"/>
        <w:gridCol w:w="5294"/>
      </w:tblGrid>
      <w:tr w:rsidR="00E172C0" w14:paraId="6CA54C5F" w14:textId="77777777" w:rsidTr="00A5337E">
        <w:trPr>
          <w:trHeight w:val="394"/>
        </w:trPr>
        <w:tc>
          <w:tcPr>
            <w:tcW w:w="10206" w:type="dxa"/>
            <w:gridSpan w:val="4"/>
            <w:tcBorders>
              <w:top w:val="nil"/>
              <w:left w:val="nil"/>
              <w:bottom w:val="nil"/>
              <w:right w:val="nil"/>
            </w:tcBorders>
            <w:vAlign w:val="center"/>
          </w:tcPr>
          <w:p w14:paraId="3EDE2E5C" w14:textId="77777777" w:rsidR="00E172C0" w:rsidRDefault="00061107" w:rsidP="00E172C0">
            <w:pPr>
              <w:spacing w:after="120"/>
              <w:rPr>
                <w:b/>
                <w:sz w:val="28"/>
                <w:szCs w:val="28"/>
              </w:rPr>
            </w:pPr>
            <w:bookmarkStart w:id="0" w:name="_GoBack"/>
            <w:bookmarkEnd w:id="0"/>
            <w:r>
              <w:rPr>
                <w:b/>
                <w:sz w:val="28"/>
                <w:szCs w:val="28"/>
              </w:rPr>
              <w:t>Academic Freedom</w:t>
            </w:r>
            <w:r w:rsidR="00353836">
              <w:rPr>
                <w:b/>
                <w:sz w:val="28"/>
                <w:szCs w:val="28"/>
              </w:rPr>
              <w:t xml:space="preserve"> Policy</w:t>
            </w:r>
          </w:p>
        </w:tc>
      </w:tr>
      <w:tr w:rsidR="002071D0" w14:paraId="221D2EC7" w14:textId="77777777" w:rsidTr="00A5337E">
        <w:tc>
          <w:tcPr>
            <w:tcW w:w="10206" w:type="dxa"/>
            <w:gridSpan w:val="4"/>
            <w:tcBorders>
              <w:top w:val="nil"/>
              <w:left w:val="nil"/>
              <w:bottom w:val="nil"/>
              <w:right w:val="nil"/>
            </w:tcBorders>
          </w:tcPr>
          <w:p w14:paraId="1C6FC742" w14:textId="77777777" w:rsidR="002071D0" w:rsidRDefault="002071D0" w:rsidP="0096224C">
            <w:r>
              <w:t>Questions regarding this policy should be directed to the Policy Administrator.</w:t>
            </w:r>
          </w:p>
          <w:p w14:paraId="073BF470" w14:textId="77777777" w:rsidR="002071D0" w:rsidRDefault="002071D0" w:rsidP="0096224C"/>
        </w:tc>
      </w:tr>
      <w:tr w:rsidR="002071D0" w14:paraId="02656A85" w14:textId="77777777" w:rsidTr="00A5337E">
        <w:trPr>
          <w:trHeight w:val="120"/>
        </w:trPr>
        <w:tc>
          <w:tcPr>
            <w:tcW w:w="1519" w:type="dxa"/>
            <w:tcBorders>
              <w:top w:val="nil"/>
            </w:tcBorders>
            <w:shd w:val="clear" w:color="auto" w:fill="1F3864" w:themeFill="accent5" w:themeFillShade="80"/>
          </w:tcPr>
          <w:p w14:paraId="549843B6" w14:textId="77777777" w:rsidR="002071D0" w:rsidRPr="00D87552" w:rsidRDefault="002071D0" w:rsidP="0096224C"/>
        </w:tc>
        <w:tc>
          <w:tcPr>
            <w:tcW w:w="1683" w:type="dxa"/>
            <w:tcBorders>
              <w:top w:val="nil"/>
            </w:tcBorders>
            <w:shd w:val="clear" w:color="auto" w:fill="1F3864" w:themeFill="accent5" w:themeFillShade="80"/>
          </w:tcPr>
          <w:p w14:paraId="706A7887" w14:textId="77777777" w:rsidR="002071D0" w:rsidRPr="00D87552" w:rsidRDefault="002071D0" w:rsidP="0096224C"/>
        </w:tc>
        <w:tc>
          <w:tcPr>
            <w:tcW w:w="1710" w:type="dxa"/>
            <w:tcBorders>
              <w:top w:val="nil"/>
            </w:tcBorders>
            <w:shd w:val="clear" w:color="auto" w:fill="1F3864" w:themeFill="accent5" w:themeFillShade="80"/>
          </w:tcPr>
          <w:p w14:paraId="3F9EC3F6" w14:textId="77777777" w:rsidR="002071D0" w:rsidRPr="00D87552" w:rsidRDefault="002071D0" w:rsidP="0096224C"/>
        </w:tc>
        <w:tc>
          <w:tcPr>
            <w:tcW w:w="5294" w:type="dxa"/>
            <w:tcBorders>
              <w:top w:val="nil"/>
            </w:tcBorders>
            <w:shd w:val="clear" w:color="auto" w:fill="1F3864" w:themeFill="accent5" w:themeFillShade="80"/>
          </w:tcPr>
          <w:p w14:paraId="48D08404" w14:textId="77777777" w:rsidR="002071D0" w:rsidRPr="00D87552" w:rsidRDefault="002071D0" w:rsidP="0096224C"/>
        </w:tc>
      </w:tr>
      <w:tr w:rsidR="002071D0" w14:paraId="2096D8D2" w14:textId="77777777" w:rsidTr="00A5337E">
        <w:tc>
          <w:tcPr>
            <w:tcW w:w="1519" w:type="dxa"/>
            <w:shd w:val="clear" w:color="auto" w:fill="9CC2E5" w:themeFill="accent1" w:themeFillTint="99"/>
          </w:tcPr>
          <w:p w14:paraId="07B4145C" w14:textId="77777777" w:rsidR="002071D0" w:rsidRDefault="002071D0" w:rsidP="0096224C">
            <w:r>
              <w:t>Effective Date:</w:t>
            </w:r>
          </w:p>
        </w:tc>
        <w:tc>
          <w:tcPr>
            <w:tcW w:w="1683" w:type="dxa"/>
          </w:tcPr>
          <w:p w14:paraId="227DCF10" w14:textId="14867B00" w:rsidR="002071D0" w:rsidRDefault="006E68B1" w:rsidP="0096224C">
            <w:r>
              <w:t>August 27, 2018</w:t>
            </w:r>
          </w:p>
        </w:tc>
        <w:tc>
          <w:tcPr>
            <w:tcW w:w="1710" w:type="dxa"/>
            <w:shd w:val="clear" w:color="auto" w:fill="9CC2E5" w:themeFill="accent1" w:themeFillTint="99"/>
          </w:tcPr>
          <w:p w14:paraId="4F7D67C7" w14:textId="77777777" w:rsidR="002071D0" w:rsidRDefault="002071D0" w:rsidP="0096224C">
            <w:r>
              <w:t>Cross Reference:</w:t>
            </w:r>
          </w:p>
        </w:tc>
        <w:tc>
          <w:tcPr>
            <w:tcW w:w="5294" w:type="dxa"/>
          </w:tcPr>
          <w:p w14:paraId="0D2152E5" w14:textId="2BFBA671" w:rsidR="00DB469D" w:rsidRPr="00DB469D" w:rsidRDefault="00DB469D" w:rsidP="0096224C">
            <w:pPr>
              <w:tabs>
                <w:tab w:val="left" w:pos="1230"/>
              </w:tabs>
              <w:rPr>
                <w:b/>
              </w:rPr>
            </w:pPr>
            <w:r>
              <w:rPr>
                <w:b/>
              </w:rPr>
              <w:t>Internal</w:t>
            </w:r>
          </w:p>
          <w:p w14:paraId="045E2D78" w14:textId="3CA6CAC0" w:rsidR="00A5337E" w:rsidRDefault="00A5337E" w:rsidP="00A5337E">
            <w:pPr>
              <w:pStyle w:val="ListParagraph"/>
              <w:numPr>
                <w:ilvl w:val="0"/>
                <w:numId w:val="20"/>
              </w:numPr>
              <w:tabs>
                <w:tab w:val="left" w:pos="1230"/>
              </w:tabs>
            </w:pPr>
            <w:r>
              <w:t>Copyright – Fair Dealing Policy</w:t>
            </w:r>
          </w:p>
          <w:p w14:paraId="65BCEF88" w14:textId="0B8FCBB3" w:rsidR="00CD30B5" w:rsidRDefault="00CD30B5" w:rsidP="00A5337E">
            <w:pPr>
              <w:pStyle w:val="ListParagraph"/>
              <w:numPr>
                <w:ilvl w:val="0"/>
                <w:numId w:val="20"/>
              </w:numPr>
              <w:tabs>
                <w:tab w:val="left" w:pos="1230"/>
              </w:tabs>
            </w:pPr>
            <w:r>
              <w:t>College Involvement in Commercialization Policy</w:t>
            </w:r>
          </w:p>
          <w:p w14:paraId="2C02F69D" w14:textId="33E43FFE" w:rsidR="00A5337E" w:rsidRDefault="00A5337E" w:rsidP="00A5337E">
            <w:pPr>
              <w:pStyle w:val="ListParagraph"/>
              <w:numPr>
                <w:ilvl w:val="0"/>
                <w:numId w:val="20"/>
              </w:numPr>
              <w:tabs>
                <w:tab w:val="left" w:pos="1230"/>
              </w:tabs>
            </w:pPr>
            <w:r>
              <w:t xml:space="preserve">Ethical Conduct for Research Involving Humans Policy </w:t>
            </w:r>
          </w:p>
          <w:p w14:paraId="08BBAA59" w14:textId="01D53958" w:rsidR="00A5337E" w:rsidRDefault="00A5337E" w:rsidP="00A5337E">
            <w:pPr>
              <w:pStyle w:val="ListParagraph"/>
              <w:numPr>
                <w:ilvl w:val="0"/>
                <w:numId w:val="20"/>
              </w:numPr>
              <w:tabs>
                <w:tab w:val="left" w:pos="1230"/>
              </w:tabs>
            </w:pPr>
            <w:r>
              <w:t>Integrity in Research Activity Policy</w:t>
            </w:r>
          </w:p>
          <w:p w14:paraId="6C058808" w14:textId="733211CF" w:rsidR="00A5337E" w:rsidRDefault="00A5337E" w:rsidP="00A5337E">
            <w:pPr>
              <w:pStyle w:val="ListParagraph"/>
              <w:numPr>
                <w:ilvl w:val="0"/>
                <w:numId w:val="20"/>
              </w:numPr>
              <w:tabs>
                <w:tab w:val="left" w:pos="1230"/>
              </w:tabs>
            </w:pPr>
            <w:r>
              <w:t>Intellectual Property and Ownership Policy</w:t>
            </w:r>
          </w:p>
          <w:p w14:paraId="2282CC7C" w14:textId="77777777" w:rsidR="00A5337E" w:rsidRDefault="00A5337E" w:rsidP="00A5337E">
            <w:pPr>
              <w:pStyle w:val="ListParagraph"/>
              <w:numPr>
                <w:ilvl w:val="0"/>
                <w:numId w:val="20"/>
              </w:numPr>
              <w:tabs>
                <w:tab w:val="left" w:pos="1230"/>
              </w:tabs>
            </w:pPr>
            <w:r>
              <w:t>Research Activities Policy</w:t>
            </w:r>
          </w:p>
          <w:p w14:paraId="0EEB74B6" w14:textId="77777777" w:rsidR="00A5337E" w:rsidRDefault="00A5337E" w:rsidP="00A5337E">
            <w:pPr>
              <w:pStyle w:val="ListParagraph"/>
              <w:numPr>
                <w:ilvl w:val="0"/>
                <w:numId w:val="20"/>
              </w:numPr>
              <w:tabs>
                <w:tab w:val="left" w:pos="1230"/>
              </w:tabs>
            </w:pPr>
            <w:r>
              <w:t>Research or Teaching Involving Animals Policy</w:t>
            </w:r>
          </w:p>
          <w:p w14:paraId="79E91E6A" w14:textId="77777777" w:rsidR="00A5337E" w:rsidRPr="00AF3684" w:rsidRDefault="00A5337E" w:rsidP="00A5337E">
            <w:pPr>
              <w:tabs>
                <w:tab w:val="left" w:pos="1230"/>
              </w:tabs>
              <w:rPr>
                <w:b/>
              </w:rPr>
            </w:pPr>
            <w:r w:rsidRPr="00AF3684">
              <w:rPr>
                <w:b/>
              </w:rPr>
              <w:t>External</w:t>
            </w:r>
          </w:p>
          <w:p w14:paraId="5D6902A2" w14:textId="071FE012" w:rsidR="002071D0" w:rsidRDefault="00A5337E" w:rsidP="00A5337E">
            <w:pPr>
              <w:pStyle w:val="ListParagraph"/>
              <w:numPr>
                <w:ilvl w:val="0"/>
                <w:numId w:val="20"/>
              </w:numPr>
              <w:tabs>
                <w:tab w:val="left" w:pos="1230"/>
              </w:tabs>
            </w:pPr>
            <w:r>
              <w:t>Post-Secondary Learning Act (</w:t>
            </w:r>
            <w:hyperlink r:id="rId12" w:history="1">
              <w:r w:rsidRPr="00BA5D2E">
                <w:rPr>
                  <w:rStyle w:val="Hyperlink"/>
                </w:rPr>
                <w:t>http://www.qp.alberta.ca/++documents/Acts/p19p5.pdf</w:t>
              </w:r>
            </w:hyperlink>
            <w:r>
              <w:t xml:space="preserve">) </w:t>
            </w:r>
          </w:p>
        </w:tc>
      </w:tr>
      <w:tr w:rsidR="002071D0" w14:paraId="54EFDE35" w14:textId="77777777" w:rsidTr="00A5337E">
        <w:tc>
          <w:tcPr>
            <w:tcW w:w="1519" w:type="dxa"/>
            <w:shd w:val="clear" w:color="auto" w:fill="9CC2E5" w:themeFill="accent1" w:themeFillTint="99"/>
          </w:tcPr>
          <w:p w14:paraId="5608AD34" w14:textId="77777777" w:rsidR="002071D0" w:rsidRDefault="00AE7ABE" w:rsidP="0096224C">
            <w:r>
              <w:t>Policy Owner</w:t>
            </w:r>
            <w:r w:rsidR="002071D0">
              <w:t>:</w:t>
            </w:r>
          </w:p>
        </w:tc>
        <w:tc>
          <w:tcPr>
            <w:tcW w:w="1683" w:type="dxa"/>
          </w:tcPr>
          <w:p w14:paraId="25E99795" w14:textId="5E67A185" w:rsidR="002071D0" w:rsidRDefault="0003733C" w:rsidP="0096224C">
            <w:r>
              <w:t>Vice President Academic</w:t>
            </w:r>
          </w:p>
        </w:tc>
        <w:tc>
          <w:tcPr>
            <w:tcW w:w="1710" w:type="dxa"/>
            <w:vMerge w:val="restart"/>
            <w:shd w:val="clear" w:color="auto" w:fill="9CC2E5" w:themeFill="accent1" w:themeFillTint="99"/>
          </w:tcPr>
          <w:p w14:paraId="0D68F3FE" w14:textId="77777777" w:rsidR="002071D0" w:rsidRDefault="002071D0" w:rsidP="0096224C">
            <w:r>
              <w:t>Appendices:</w:t>
            </w:r>
          </w:p>
        </w:tc>
        <w:tc>
          <w:tcPr>
            <w:tcW w:w="5294" w:type="dxa"/>
            <w:vMerge w:val="restart"/>
          </w:tcPr>
          <w:p w14:paraId="0E6507FB" w14:textId="77777777" w:rsidR="002071D0" w:rsidRDefault="002071D0" w:rsidP="0096224C">
            <w:pPr>
              <w:pStyle w:val="ListParagraph"/>
              <w:ind w:left="269"/>
            </w:pPr>
          </w:p>
        </w:tc>
      </w:tr>
      <w:tr w:rsidR="0003733C" w14:paraId="78330F05" w14:textId="77777777" w:rsidTr="00A5337E">
        <w:tc>
          <w:tcPr>
            <w:tcW w:w="1519" w:type="dxa"/>
            <w:shd w:val="clear" w:color="auto" w:fill="9CC2E5" w:themeFill="accent1" w:themeFillTint="99"/>
          </w:tcPr>
          <w:p w14:paraId="112C6FAC" w14:textId="77777777" w:rsidR="0003733C" w:rsidRDefault="0003733C" w:rsidP="0003733C">
            <w:r>
              <w:t>Policy Administrator:</w:t>
            </w:r>
          </w:p>
        </w:tc>
        <w:tc>
          <w:tcPr>
            <w:tcW w:w="1683" w:type="dxa"/>
          </w:tcPr>
          <w:p w14:paraId="70C4D9D8" w14:textId="452BB322" w:rsidR="0003733C" w:rsidRDefault="0003733C" w:rsidP="0003733C">
            <w:r>
              <w:t>Director, Quality Assurance and Research Services</w:t>
            </w:r>
          </w:p>
        </w:tc>
        <w:tc>
          <w:tcPr>
            <w:tcW w:w="1710" w:type="dxa"/>
            <w:vMerge/>
            <w:shd w:val="clear" w:color="auto" w:fill="9CC2E5" w:themeFill="accent1" w:themeFillTint="99"/>
          </w:tcPr>
          <w:p w14:paraId="4AE634CB" w14:textId="77777777" w:rsidR="0003733C" w:rsidRDefault="0003733C" w:rsidP="0003733C"/>
        </w:tc>
        <w:tc>
          <w:tcPr>
            <w:tcW w:w="5294" w:type="dxa"/>
            <w:vMerge/>
          </w:tcPr>
          <w:p w14:paraId="7C843D5D" w14:textId="77777777" w:rsidR="0003733C" w:rsidRDefault="0003733C" w:rsidP="0003733C">
            <w:pPr>
              <w:pStyle w:val="ListParagraph"/>
              <w:ind w:left="269"/>
            </w:pPr>
          </w:p>
        </w:tc>
      </w:tr>
      <w:tr w:rsidR="0003733C" w14:paraId="57671F9C" w14:textId="77777777" w:rsidTr="00A5337E">
        <w:tc>
          <w:tcPr>
            <w:tcW w:w="1519" w:type="dxa"/>
            <w:shd w:val="clear" w:color="auto" w:fill="9CC2E5" w:themeFill="accent1" w:themeFillTint="99"/>
          </w:tcPr>
          <w:p w14:paraId="59D424EE" w14:textId="77777777" w:rsidR="0003733C" w:rsidRDefault="0003733C" w:rsidP="0003733C">
            <w:r>
              <w:t>Approver:</w:t>
            </w:r>
          </w:p>
        </w:tc>
        <w:tc>
          <w:tcPr>
            <w:tcW w:w="1683" w:type="dxa"/>
          </w:tcPr>
          <w:p w14:paraId="3A99B0E1" w14:textId="77777777" w:rsidR="0003733C" w:rsidRDefault="0003733C" w:rsidP="0003733C">
            <w:r>
              <w:t>Executive Committee</w:t>
            </w:r>
          </w:p>
        </w:tc>
        <w:tc>
          <w:tcPr>
            <w:tcW w:w="1710" w:type="dxa"/>
            <w:vMerge/>
            <w:shd w:val="clear" w:color="auto" w:fill="9CC2E5" w:themeFill="accent1" w:themeFillTint="99"/>
          </w:tcPr>
          <w:p w14:paraId="3523693A" w14:textId="77777777" w:rsidR="0003733C" w:rsidRDefault="0003733C" w:rsidP="0003733C"/>
        </w:tc>
        <w:tc>
          <w:tcPr>
            <w:tcW w:w="5294" w:type="dxa"/>
            <w:vMerge/>
          </w:tcPr>
          <w:p w14:paraId="2A88A678" w14:textId="77777777" w:rsidR="0003733C" w:rsidRDefault="0003733C" w:rsidP="0003733C"/>
        </w:tc>
      </w:tr>
      <w:tr w:rsidR="0003733C" w14:paraId="5DEFF289" w14:textId="77777777" w:rsidTr="00A5337E">
        <w:tc>
          <w:tcPr>
            <w:tcW w:w="1519" w:type="dxa"/>
            <w:shd w:val="clear" w:color="auto" w:fill="9CC2E5" w:themeFill="accent1" w:themeFillTint="99"/>
          </w:tcPr>
          <w:p w14:paraId="2A349198" w14:textId="77777777" w:rsidR="0003733C" w:rsidRDefault="0003733C" w:rsidP="0003733C">
            <w:r>
              <w:t>Review Schedule:</w:t>
            </w:r>
          </w:p>
        </w:tc>
        <w:tc>
          <w:tcPr>
            <w:tcW w:w="1683" w:type="dxa"/>
          </w:tcPr>
          <w:p w14:paraId="3DC2399A" w14:textId="5F504D63" w:rsidR="0003733C" w:rsidRDefault="00D77B2A" w:rsidP="0003733C">
            <w:r>
              <w:t>Every 3 years</w:t>
            </w:r>
          </w:p>
        </w:tc>
        <w:tc>
          <w:tcPr>
            <w:tcW w:w="1710" w:type="dxa"/>
            <w:vMerge/>
            <w:shd w:val="clear" w:color="auto" w:fill="9CC2E5" w:themeFill="accent1" w:themeFillTint="99"/>
          </w:tcPr>
          <w:p w14:paraId="5F28AA6D" w14:textId="77777777" w:rsidR="0003733C" w:rsidRDefault="0003733C" w:rsidP="0003733C"/>
        </w:tc>
        <w:tc>
          <w:tcPr>
            <w:tcW w:w="5294" w:type="dxa"/>
            <w:vMerge/>
          </w:tcPr>
          <w:p w14:paraId="361EFD80" w14:textId="77777777" w:rsidR="0003733C" w:rsidRDefault="0003733C" w:rsidP="0003733C"/>
        </w:tc>
      </w:tr>
    </w:tbl>
    <w:p w14:paraId="59386635" w14:textId="77777777" w:rsidR="00D87552" w:rsidRDefault="00D87552" w:rsidP="0096224C"/>
    <w:p w14:paraId="63B5E36E" w14:textId="77777777" w:rsidR="00C33448" w:rsidRDefault="00907481" w:rsidP="0096224C">
      <w:pPr>
        <w:pStyle w:val="Heading1"/>
        <w:numPr>
          <w:ilvl w:val="0"/>
          <w:numId w:val="5"/>
        </w:numPr>
        <w:jc w:val="left"/>
      </w:pPr>
      <w:r w:rsidRPr="00651377">
        <w:t>Policy Statement</w:t>
      </w:r>
    </w:p>
    <w:p w14:paraId="53E2ED8B" w14:textId="77777777" w:rsidR="00C33448" w:rsidRDefault="00061107" w:rsidP="0096224C">
      <w:pPr>
        <w:pStyle w:val="Heading2"/>
        <w:ind w:left="1080" w:hanging="720"/>
        <w:jc w:val="left"/>
      </w:pPr>
      <w:r w:rsidRPr="00061107">
        <w:t>Keyano College (hereinafter also referred to as “the College”) is committed to upholding and preserving principles of academic freedom as outlined in this policy.</w:t>
      </w:r>
    </w:p>
    <w:p w14:paraId="43BFCDA1" w14:textId="71A179D3" w:rsidR="00635A87" w:rsidRDefault="00635A87" w:rsidP="0096224C">
      <w:pPr>
        <w:pStyle w:val="Heading2"/>
        <w:ind w:left="1080" w:hanging="720"/>
        <w:jc w:val="left"/>
      </w:pPr>
      <w:r w:rsidRPr="00B9102A">
        <w:t xml:space="preserve">All </w:t>
      </w:r>
      <w:r w:rsidR="00A5337E" w:rsidRPr="00B732D4">
        <w:rPr>
          <w:szCs w:val="20"/>
        </w:rPr>
        <w:t>College faculty</w:t>
      </w:r>
      <w:r w:rsidR="00306A2B">
        <w:rPr>
          <w:szCs w:val="20"/>
        </w:rPr>
        <w:t>, s</w:t>
      </w:r>
      <w:r w:rsidR="00A5337E" w:rsidRPr="00B732D4">
        <w:rPr>
          <w:szCs w:val="20"/>
        </w:rPr>
        <w:t>taff</w:t>
      </w:r>
      <w:r w:rsidR="00C23A7B">
        <w:rPr>
          <w:szCs w:val="20"/>
        </w:rPr>
        <w:t>,</w:t>
      </w:r>
      <w:r w:rsidR="00306A2B">
        <w:rPr>
          <w:szCs w:val="20"/>
        </w:rPr>
        <w:t xml:space="preserve"> and students</w:t>
      </w:r>
      <w:r w:rsidR="00A5337E" w:rsidRPr="00B732D4">
        <w:rPr>
          <w:szCs w:val="20"/>
        </w:rPr>
        <w:t xml:space="preserve">, as well as contractors, consultants, clients, and volunteers </w:t>
      </w:r>
      <w:r w:rsidRPr="00B9102A">
        <w:t xml:space="preserve">shall support and protect this fundamental principle and work collaboratively to provide an environment of tolerance and mutual respect. </w:t>
      </w:r>
    </w:p>
    <w:p w14:paraId="3040750D" w14:textId="06296F38" w:rsidR="00635A87" w:rsidRPr="00B9102A" w:rsidRDefault="00C23A7B" w:rsidP="0096224C">
      <w:pPr>
        <w:pStyle w:val="Heading2"/>
        <w:ind w:left="1080" w:hanging="720"/>
        <w:jc w:val="left"/>
      </w:pPr>
      <w:r>
        <w:t>All College Faculty</w:t>
      </w:r>
      <w:r w:rsidR="00635A87" w:rsidRPr="00B9102A">
        <w:t xml:space="preserve"> should be able to undertake scholarly research, perform teaching and learning activities, explore and produce creative work, engage in community service, and hold academic discussion, within parameters established by College policies and procedures, and all applicable legislation.</w:t>
      </w:r>
    </w:p>
    <w:p w14:paraId="33D74C37" w14:textId="77777777" w:rsidR="00635A87" w:rsidRPr="00B9102A" w:rsidRDefault="00635A87" w:rsidP="0096224C">
      <w:pPr>
        <w:pStyle w:val="Heading2"/>
        <w:ind w:left="1080" w:hanging="720"/>
        <w:jc w:val="left"/>
      </w:pPr>
      <w:r w:rsidRPr="00B9102A">
        <w:t>Academic freedom must be exercised responsibly and does not exempt any member of the College from his/her obligations or duties inherent in the roles associated with the teaching and learning process or any provincial or federal policies and legislation.</w:t>
      </w:r>
    </w:p>
    <w:p w14:paraId="6593A14F" w14:textId="062513C0" w:rsidR="00635A87" w:rsidRDefault="00635A87" w:rsidP="0096224C">
      <w:pPr>
        <w:pStyle w:val="Heading2"/>
        <w:ind w:left="1080" w:hanging="720"/>
        <w:jc w:val="left"/>
      </w:pPr>
      <w:r w:rsidRPr="00B9102A">
        <w:t xml:space="preserve">College </w:t>
      </w:r>
      <w:r w:rsidR="0056190E">
        <w:t xml:space="preserve">employees </w:t>
      </w:r>
      <w:r w:rsidR="00C23A7B">
        <w:t>must</w:t>
      </w:r>
      <w:r w:rsidRPr="00B9102A">
        <w:t xml:space="preserve"> make every effort when speaking or writing as citizens to ensure it does not appear they are representing the College on matters of public interest.</w:t>
      </w:r>
    </w:p>
    <w:p w14:paraId="6BA050E7" w14:textId="77777777" w:rsidR="00061107" w:rsidRPr="00EA6B91" w:rsidRDefault="00061107" w:rsidP="0096224C">
      <w:pPr>
        <w:tabs>
          <w:tab w:val="left" w:pos="426"/>
        </w:tabs>
        <w:spacing w:after="120" w:line="240" w:lineRule="auto"/>
        <w:rPr>
          <w:szCs w:val="28"/>
        </w:rPr>
      </w:pPr>
    </w:p>
    <w:p w14:paraId="004C9BC4" w14:textId="77777777" w:rsidR="00907481" w:rsidRDefault="00907481" w:rsidP="0096224C">
      <w:pPr>
        <w:pStyle w:val="Heading1"/>
        <w:numPr>
          <w:ilvl w:val="0"/>
          <w:numId w:val="5"/>
        </w:numPr>
        <w:jc w:val="left"/>
        <w:rPr>
          <w:b w:val="0"/>
        </w:rPr>
      </w:pPr>
      <w:r w:rsidRPr="00907481">
        <w:t>Background</w:t>
      </w:r>
    </w:p>
    <w:p w14:paraId="16006CC5" w14:textId="77777777" w:rsidR="007817A3" w:rsidRDefault="003F6234" w:rsidP="0096224C">
      <w:pPr>
        <w:pStyle w:val="Heading2"/>
        <w:ind w:left="1080" w:hanging="720"/>
        <w:jc w:val="left"/>
      </w:pPr>
      <w:r w:rsidRPr="00336CA6">
        <w:t>This document, “</w:t>
      </w:r>
      <w:r w:rsidR="00B9102A">
        <w:t>Academic Freedom</w:t>
      </w:r>
      <w:r w:rsidR="007361F9">
        <w:t xml:space="preserve"> Policy”</w:t>
      </w:r>
      <w:r w:rsidRPr="00336CA6">
        <w:t>, sets out the</w:t>
      </w:r>
      <w:r w:rsidR="00336CA6">
        <w:t xml:space="preserve"> policy </w:t>
      </w:r>
      <w:r w:rsidRPr="00336CA6">
        <w:t xml:space="preserve">and regulations governing </w:t>
      </w:r>
      <w:r w:rsidR="00B9102A">
        <w:t>academic freedom</w:t>
      </w:r>
      <w:r w:rsidRPr="00336CA6">
        <w:t xml:space="preserve"> </w:t>
      </w:r>
      <w:r w:rsidR="00BE5568">
        <w:t>at the College.</w:t>
      </w:r>
      <w:r w:rsidRPr="00336CA6">
        <w:t xml:space="preserve"> </w:t>
      </w:r>
    </w:p>
    <w:p w14:paraId="29598EBF" w14:textId="4FCF4213" w:rsidR="00336CA6" w:rsidRDefault="00336CA6" w:rsidP="0096224C">
      <w:pPr>
        <w:pStyle w:val="Heading2"/>
        <w:ind w:left="1080" w:hanging="720"/>
        <w:jc w:val="left"/>
      </w:pPr>
      <w:r>
        <w:t xml:space="preserve">Policy development included a review of existing </w:t>
      </w:r>
      <w:r w:rsidR="00C23A7B">
        <w:t xml:space="preserve">academic freedom </w:t>
      </w:r>
      <w:r>
        <w:t>policies and procedures from Canadian colleges and universit</w:t>
      </w:r>
      <w:r w:rsidR="00B9102A">
        <w:t>ies</w:t>
      </w:r>
      <w:r>
        <w:t xml:space="preserve"> with a focus on </w:t>
      </w:r>
      <w:r w:rsidR="00B9102A">
        <w:t>similar institutions</w:t>
      </w:r>
      <w:r>
        <w:t xml:space="preserve">. </w:t>
      </w:r>
    </w:p>
    <w:p w14:paraId="6BC5FAAD" w14:textId="48716716" w:rsidR="00907481" w:rsidRDefault="00907481" w:rsidP="0096224C">
      <w:pPr>
        <w:spacing w:after="0" w:line="240" w:lineRule="auto"/>
      </w:pPr>
    </w:p>
    <w:p w14:paraId="418C7FF9" w14:textId="77777777" w:rsidR="00663DDE" w:rsidRDefault="00663DDE" w:rsidP="0096224C">
      <w:pPr>
        <w:spacing w:after="0" w:line="240" w:lineRule="auto"/>
      </w:pPr>
    </w:p>
    <w:p w14:paraId="252EA13B" w14:textId="77777777" w:rsidR="00907481" w:rsidRPr="00651377" w:rsidRDefault="00907481" w:rsidP="0096224C">
      <w:pPr>
        <w:pStyle w:val="Heading1"/>
        <w:numPr>
          <w:ilvl w:val="0"/>
          <w:numId w:val="5"/>
        </w:numPr>
        <w:jc w:val="left"/>
      </w:pPr>
      <w:r w:rsidRPr="00907481">
        <w:t>Policy Objective</w:t>
      </w:r>
    </w:p>
    <w:p w14:paraId="08EC1AF2" w14:textId="4128B51F" w:rsidR="00EA6B91" w:rsidRPr="00651377" w:rsidRDefault="00EA6B91" w:rsidP="0096224C">
      <w:pPr>
        <w:pStyle w:val="Heading2"/>
        <w:ind w:left="1080" w:hanging="720"/>
        <w:jc w:val="left"/>
      </w:pPr>
      <w:r w:rsidRPr="00651377">
        <w:t xml:space="preserve">The </w:t>
      </w:r>
      <w:r w:rsidRPr="00EC21DB">
        <w:t>purpose</w:t>
      </w:r>
      <w:r w:rsidRPr="00651377">
        <w:t xml:space="preserve"> of this policy is to outline the College’s position on </w:t>
      </w:r>
      <w:r w:rsidR="00B9102A">
        <w:t>academic freedom</w:t>
      </w:r>
      <w:r w:rsidRPr="00651377">
        <w:t xml:space="preserve"> and to identify the rights and responsibilities of faculty, staff, </w:t>
      </w:r>
      <w:r w:rsidR="00BE5568">
        <w:t xml:space="preserve">and </w:t>
      </w:r>
      <w:r w:rsidRPr="00651377">
        <w:t>students</w:t>
      </w:r>
      <w:r w:rsidR="00306A2B" w:rsidRPr="00B732D4">
        <w:rPr>
          <w:szCs w:val="20"/>
        </w:rPr>
        <w:t>, as well as contractors, consultants, clients, and volunteers</w:t>
      </w:r>
      <w:r w:rsidRPr="00651377">
        <w:t xml:space="preserve"> with respect to </w:t>
      </w:r>
      <w:r w:rsidR="00B9102A">
        <w:t>academic freedom</w:t>
      </w:r>
      <w:r w:rsidRPr="00651377">
        <w:t xml:space="preserve">. </w:t>
      </w:r>
    </w:p>
    <w:p w14:paraId="64D26677" w14:textId="77777777" w:rsidR="00907481" w:rsidRDefault="00907481" w:rsidP="0096224C">
      <w:pPr>
        <w:spacing w:after="0" w:line="240" w:lineRule="auto"/>
      </w:pPr>
    </w:p>
    <w:p w14:paraId="76B1D80A" w14:textId="77777777" w:rsidR="00907481" w:rsidRPr="00651377" w:rsidRDefault="00907481" w:rsidP="0096224C">
      <w:pPr>
        <w:pStyle w:val="Heading1"/>
        <w:numPr>
          <w:ilvl w:val="0"/>
          <w:numId w:val="5"/>
        </w:numPr>
        <w:jc w:val="left"/>
      </w:pPr>
      <w:r w:rsidRPr="00907481">
        <w:t>Scope</w:t>
      </w:r>
    </w:p>
    <w:p w14:paraId="1FB9FEA8" w14:textId="2E9F5AC1" w:rsidR="00651377" w:rsidRDefault="009A0414" w:rsidP="00306A2B">
      <w:pPr>
        <w:pStyle w:val="Heading2"/>
        <w:ind w:left="1080" w:hanging="720"/>
        <w:jc w:val="left"/>
      </w:pPr>
      <w:r>
        <w:t>This policy applies to all faculty, staff,</w:t>
      </w:r>
      <w:r w:rsidR="0096224C">
        <w:t xml:space="preserve"> and</w:t>
      </w:r>
      <w:r>
        <w:t xml:space="preserve"> students at </w:t>
      </w:r>
      <w:r w:rsidR="00BE5568">
        <w:t>the College</w:t>
      </w:r>
      <w:r w:rsidR="0096224C">
        <w:t xml:space="preserve">, as well as </w:t>
      </w:r>
      <w:r w:rsidR="0096224C" w:rsidRPr="0096224C">
        <w:t xml:space="preserve">contractors, consultants, </w:t>
      </w:r>
      <w:r w:rsidR="0096224C">
        <w:t>clients</w:t>
      </w:r>
      <w:r w:rsidR="0096224C" w:rsidRPr="0096224C">
        <w:t>, and volunteers.</w:t>
      </w:r>
    </w:p>
    <w:p w14:paraId="3D6B32CC" w14:textId="77777777" w:rsidR="00907481" w:rsidRPr="003F2805" w:rsidRDefault="00907481" w:rsidP="0096224C">
      <w:pPr>
        <w:tabs>
          <w:tab w:val="left" w:pos="426"/>
        </w:tabs>
        <w:spacing w:after="0" w:line="240" w:lineRule="auto"/>
        <w:rPr>
          <w:szCs w:val="28"/>
        </w:rPr>
      </w:pPr>
    </w:p>
    <w:p w14:paraId="548885B0" w14:textId="77777777" w:rsidR="00907481" w:rsidRPr="00651377" w:rsidRDefault="00907481" w:rsidP="0096224C">
      <w:pPr>
        <w:pStyle w:val="Heading1"/>
        <w:numPr>
          <w:ilvl w:val="0"/>
          <w:numId w:val="5"/>
        </w:numPr>
        <w:jc w:val="left"/>
      </w:pPr>
      <w:r w:rsidRPr="00907481">
        <w:t>Definitions</w:t>
      </w:r>
    </w:p>
    <w:p w14:paraId="5566361A" w14:textId="31CEAEE7" w:rsidR="00D066E0" w:rsidRDefault="00FF64B6" w:rsidP="007140EE">
      <w:pPr>
        <w:pStyle w:val="Heading2"/>
        <w:tabs>
          <w:tab w:val="left" w:pos="567"/>
          <w:tab w:val="left" w:pos="1134"/>
        </w:tabs>
        <w:ind w:left="1080" w:hanging="720"/>
        <w:jc w:val="left"/>
      </w:pPr>
      <w:r w:rsidRPr="007140EE">
        <w:rPr>
          <w:b/>
        </w:rPr>
        <w:t>Academic Freedom</w:t>
      </w:r>
      <w:r>
        <w:t xml:space="preserve"> is the freedom to teach, conduct research, engage in scholarly activity, disseminate and publish results of that research, produce</w:t>
      </w:r>
      <w:r w:rsidR="00635057">
        <w:t>,</w:t>
      </w:r>
      <w:r>
        <w:t xml:space="preserve"> and perform creative works, and engage in service to the institution and community</w:t>
      </w:r>
      <w:r w:rsidR="007140EE">
        <w:t xml:space="preserve"> </w:t>
      </w:r>
      <w:r>
        <w:t>without being subject to undue interference.</w:t>
      </w:r>
      <w:r w:rsidR="004F1F23">
        <w:t xml:space="preserve"> </w:t>
      </w:r>
    </w:p>
    <w:p w14:paraId="4007A799" w14:textId="61188FEF" w:rsidR="007140EE" w:rsidRPr="007140EE" w:rsidRDefault="007140EE" w:rsidP="007140EE">
      <w:pPr>
        <w:pStyle w:val="Heading2"/>
        <w:tabs>
          <w:tab w:val="left" w:pos="567"/>
          <w:tab w:val="left" w:pos="1134"/>
        </w:tabs>
        <w:ind w:left="1080" w:hanging="720"/>
        <w:jc w:val="left"/>
      </w:pPr>
      <w:r w:rsidRPr="007140EE">
        <w:rPr>
          <w:b/>
        </w:rPr>
        <w:t>Academic Responsibility</w:t>
      </w:r>
      <w:r>
        <w:t xml:space="preserve"> includes adherence to academic policies that are created and advanced by members of the academic community as part of that community’s process of academic self-government.</w:t>
      </w:r>
      <w:r w:rsidRPr="007140EE">
        <w:t xml:space="preserve"> </w:t>
      </w:r>
      <w:r>
        <w:t>Academic Freedom and Academic Responsibility include the duty to respect the rights of others, to exercise that freedom in a reasonable and responsible manner, and to respect the academic objectives of the institution.</w:t>
      </w:r>
    </w:p>
    <w:p w14:paraId="1AF38DEC" w14:textId="10AC3C3F" w:rsidR="00D066E0" w:rsidRPr="00D066E0" w:rsidRDefault="00D066E0" w:rsidP="00D066E0">
      <w:pPr>
        <w:pStyle w:val="Heading2"/>
        <w:tabs>
          <w:tab w:val="left" w:pos="567"/>
          <w:tab w:val="left" w:pos="1134"/>
        </w:tabs>
        <w:ind w:left="1080" w:hanging="720"/>
        <w:jc w:val="left"/>
      </w:pPr>
      <w:r w:rsidRPr="00D066E0">
        <w:rPr>
          <w:b/>
        </w:rPr>
        <w:t>Professional service</w:t>
      </w:r>
      <w:r w:rsidRPr="00635A87">
        <w:t xml:space="preserve"> refers to work done in support of one’s academic discipline and includes, but is not limited to, activities such as serving on committees and boards of professional organizations, organizing or chairing sessions at national or international meetings, or editing or reading manuscripts for professional journals.</w:t>
      </w:r>
    </w:p>
    <w:p w14:paraId="3163ED65" w14:textId="77777777" w:rsidR="00B9102A" w:rsidRDefault="00B9102A" w:rsidP="0096224C">
      <w:pPr>
        <w:pStyle w:val="Default"/>
        <w:tabs>
          <w:tab w:val="left" w:pos="567"/>
          <w:tab w:val="left" w:pos="1134"/>
        </w:tabs>
        <w:rPr>
          <w:b/>
        </w:rPr>
      </w:pPr>
    </w:p>
    <w:p w14:paraId="61970558" w14:textId="77777777" w:rsidR="000653BF" w:rsidRPr="00651377" w:rsidRDefault="00907481" w:rsidP="0096224C">
      <w:pPr>
        <w:pStyle w:val="Heading1"/>
        <w:numPr>
          <w:ilvl w:val="0"/>
          <w:numId w:val="5"/>
        </w:numPr>
        <w:jc w:val="left"/>
      </w:pPr>
      <w:r w:rsidRPr="00907481">
        <w:t>Guiding Principles</w:t>
      </w:r>
    </w:p>
    <w:p w14:paraId="79B4F002" w14:textId="27BE7E88" w:rsidR="00635A87" w:rsidRPr="00635A87" w:rsidRDefault="00635A87" w:rsidP="0096224C">
      <w:pPr>
        <w:pStyle w:val="Heading2"/>
        <w:ind w:left="1080" w:hanging="720"/>
        <w:jc w:val="left"/>
      </w:pPr>
      <w:r w:rsidRPr="00635A87">
        <w:t>Academic freedom carries with it the responsibility to use that freedom in a manner consistent with the scholarly obligation to carry out academic activities on the basis of an honest search for knowledge, and in accordance with College policies, procedures</w:t>
      </w:r>
      <w:r w:rsidR="004F1F23">
        <w:t>,</w:t>
      </w:r>
      <w:r w:rsidRPr="00635A87">
        <w:t xml:space="preserve"> and ethical guidelines.</w:t>
      </w:r>
    </w:p>
    <w:p w14:paraId="2D688446" w14:textId="5208F4A8" w:rsidR="00635A87" w:rsidRDefault="00635A87" w:rsidP="0096224C">
      <w:pPr>
        <w:pStyle w:val="Heading2"/>
        <w:ind w:left="1080" w:hanging="720"/>
        <w:jc w:val="left"/>
      </w:pPr>
      <w:r w:rsidRPr="00635A87">
        <w:t xml:space="preserve">All members of the </w:t>
      </w:r>
      <w:r w:rsidR="00A1788F">
        <w:t xml:space="preserve">College </w:t>
      </w:r>
      <w:r w:rsidRPr="00635A87">
        <w:t>community have an obligation to use academic freedom in a respectful and responsible manner. It is based on mutual respect for other members of the Keyano community.</w:t>
      </w:r>
    </w:p>
    <w:p w14:paraId="5E1592EF" w14:textId="77777777" w:rsidR="00501650" w:rsidRPr="00635A87" w:rsidRDefault="00501650" w:rsidP="00501650">
      <w:pPr>
        <w:pStyle w:val="Heading2"/>
        <w:ind w:left="1080" w:hanging="720"/>
        <w:jc w:val="left"/>
      </w:pPr>
      <w:r w:rsidRPr="00635A87">
        <w:lastRenderedPageBreak/>
        <w:t>Academic freedom does not imply rights greater than those granted by applicable laws and regulations.</w:t>
      </w:r>
    </w:p>
    <w:p w14:paraId="3F912835" w14:textId="77777777" w:rsidR="00501650" w:rsidRPr="00635A87" w:rsidRDefault="00501650" w:rsidP="00501650">
      <w:pPr>
        <w:pStyle w:val="Heading2"/>
        <w:ind w:left="1080" w:hanging="720"/>
        <w:jc w:val="left"/>
      </w:pPr>
      <w:r w:rsidRPr="00635A87">
        <w:t xml:space="preserve">Academic freedom does not relieve members of the </w:t>
      </w:r>
      <w:r>
        <w:t>College</w:t>
      </w:r>
      <w:r w:rsidRPr="00635A87">
        <w:t xml:space="preserve"> community from their obligations or duties inherent in their roles at Keyano.</w:t>
      </w:r>
    </w:p>
    <w:p w14:paraId="3C9EB549" w14:textId="404AF23A" w:rsidR="004F1F23" w:rsidRPr="004F1F23" w:rsidRDefault="004F1F23" w:rsidP="004F1F23">
      <w:pPr>
        <w:pStyle w:val="Heading2"/>
        <w:ind w:left="1080" w:hanging="720"/>
        <w:jc w:val="left"/>
      </w:pPr>
      <w:r w:rsidRPr="004F1F23">
        <w:t>As no freedom is absolute and no right is unlimited, those who claim the right to</w:t>
      </w:r>
      <w:r>
        <w:t xml:space="preserve"> academic freedom also accept the concomitant responsibilities of being open-minded, respectful, ethical</w:t>
      </w:r>
      <w:r w:rsidR="00501650">
        <w:t>,</w:t>
      </w:r>
      <w:r>
        <w:t xml:space="preserve"> and honest.</w:t>
      </w:r>
    </w:p>
    <w:p w14:paraId="1DA73B89" w14:textId="0656B0A0" w:rsidR="00635A87" w:rsidRPr="00635A87" w:rsidRDefault="004F1F23" w:rsidP="0096224C">
      <w:pPr>
        <w:pStyle w:val="Heading2"/>
        <w:ind w:left="1080" w:hanging="720"/>
        <w:jc w:val="left"/>
      </w:pPr>
      <w:r w:rsidRPr="00635A87">
        <w:t xml:space="preserve">Faculty </w:t>
      </w:r>
      <w:r>
        <w:t xml:space="preserve">and staff </w:t>
      </w:r>
      <w:r w:rsidRPr="00635A87">
        <w:t xml:space="preserve">members </w:t>
      </w:r>
      <w:r w:rsidR="00635057">
        <w:t>have the right</w:t>
      </w:r>
      <w:r w:rsidR="00635A87" w:rsidRPr="00635A87">
        <w:t xml:space="preserve"> to act and speak in their </w:t>
      </w:r>
      <w:r w:rsidR="00C23A7B" w:rsidRPr="00635A87">
        <w:t>capacit</w:t>
      </w:r>
      <w:r w:rsidR="00C23A7B">
        <w:t>ies</w:t>
      </w:r>
      <w:r w:rsidR="00C23A7B" w:rsidRPr="00635A87">
        <w:t xml:space="preserve"> </w:t>
      </w:r>
      <w:r w:rsidR="00635A87" w:rsidRPr="00635A87">
        <w:t>as public citizens without institutional censorship and/or reprisal, subject to the obligations inherent in the Academic Freedom Policy.</w:t>
      </w:r>
    </w:p>
    <w:p w14:paraId="33A3C2E6" w14:textId="3AEE6F6A" w:rsidR="00635A87" w:rsidRDefault="00635A87" w:rsidP="004F1F23">
      <w:pPr>
        <w:pStyle w:val="Heading2"/>
        <w:ind w:left="1080" w:hanging="720"/>
        <w:jc w:val="left"/>
      </w:pPr>
      <w:r w:rsidRPr="00635A87">
        <w:t xml:space="preserve">Faculty </w:t>
      </w:r>
      <w:r w:rsidR="004F1F23">
        <w:t xml:space="preserve">and staff </w:t>
      </w:r>
      <w:r w:rsidRPr="00635A87">
        <w:t xml:space="preserve">members have the right to participate in the selection of course materials, course content, and course methodology. </w:t>
      </w:r>
      <w:r w:rsidR="004F1F23">
        <w:t>They have a right to teach and discuss in their classes any aspect of a topic pertinent to the understanding of the subject matter of the course which they are teaching.</w:t>
      </w:r>
      <w:r w:rsidR="004F1F23" w:rsidRPr="00635A87">
        <w:t xml:space="preserve"> </w:t>
      </w:r>
      <w:r w:rsidRPr="00635A87">
        <w:t>Faculty members have an associated responsibility to deliver their courses in a manner consistent with the course outlines established by the program responsible for delivering that course, and in accordance with the expectations established through the performance planning review process and subject to the Academic Freedom Policy.</w:t>
      </w:r>
    </w:p>
    <w:p w14:paraId="501C68C7" w14:textId="788CEE11" w:rsidR="00C23A7B" w:rsidRDefault="004F1F23" w:rsidP="004F1F23">
      <w:pPr>
        <w:pStyle w:val="Heading2"/>
        <w:ind w:left="1080" w:hanging="720"/>
        <w:jc w:val="left"/>
      </w:pPr>
      <w:r>
        <w:t>Students have the right to courteously raise for discussion in a class any aspect of a topic which they feel is pertinent to the understanding of the subject matter being addressed in that class</w:t>
      </w:r>
      <w:r w:rsidR="00C23A7B">
        <w:t>.</w:t>
      </w:r>
    </w:p>
    <w:p w14:paraId="5F3E9382" w14:textId="46C293B6" w:rsidR="004F1F23" w:rsidRPr="004F1F23" w:rsidRDefault="00C23A7B" w:rsidP="004F1F23">
      <w:pPr>
        <w:pStyle w:val="Heading2"/>
        <w:ind w:left="1080" w:hanging="720"/>
        <w:jc w:val="left"/>
      </w:pPr>
      <w:r>
        <w:t xml:space="preserve">Students have the right to </w:t>
      </w:r>
      <w:r w:rsidR="004F1F23">
        <w:t>assemble on campus for the purpose of civil discussion of any topic or issue.</w:t>
      </w:r>
    </w:p>
    <w:p w14:paraId="2C78BA03" w14:textId="1D56A334" w:rsidR="00635A87" w:rsidRPr="00635A87" w:rsidRDefault="00635A87" w:rsidP="0096224C">
      <w:pPr>
        <w:pStyle w:val="Heading2"/>
        <w:ind w:left="1080" w:hanging="720"/>
        <w:jc w:val="left"/>
      </w:pPr>
      <w:r w:rsidRPr="00635A87">
        <w:t xml:space="preserve">All members of the </w:t>
      </w:r>
      <w:r w:rsidR="00A1788F">
        <w:t>College</w:t>
      </w:r>
      <w:r w:rsidRPr="00635A87">
        <w:t xml:space="preserve"> community have the freedom to pursue and participate in internal and external institutional and professional service, subject to the obligations or duties inherent in their roles and positions at Keyano. </w:t>
      </w:r>
    </w:p>
    <w:p w14:paraId="76866D87" w14:textId="77777777" w:rsidR="00635A87" w:rsidRPr="00635A87" w:rsidRDefault="00A1788F" w:rsidP="0096224C">
      <w:pPr>
        <w:pStyle w:val="Heading2"/>
        <w:ind w:left="1080" w:hanging="720"/>
        <w:jc w:val="left"/>
      </w:pPr>
      <w:r>
        <w:t xml:space="preserve">The College </w:t>
      </w:r>
      <w:r w:rsidR="00635A87" w:rsidRPr="00635A87">
        <w:t>is not accountable for infringements of academic freedom originating beyond the College’s control, including, but not limited to, legislation. Keyano is also not accountable for infringements of academic freedom by members of the Keyano community that occur without the College’s knowledge ad express or implied concurrence.</w:t>
      </w:r>
    </w:p>
    <w:p w14:paraId="1E24D18D" w14:textId="77777777" w:rsidR="00B9102A" w:rsidRPr="00F5572F" w:rsidRDefault="00B9102A" w:rsidP="0096224C">
      <w:pPr>
        <w:tabs>
          <w:tab w:val="left" w:pos="426"/>
        </w:tabs>
        <w:spacing w:after="120" w:line="240" w:lineRule="auto"/>
        <w:rPr>
          <w:szCs w:val="28"/>
        </w:rPr>
      </w:pPr>
    </w:p>
    <w:p w14:paraId="0587CB4B" w14:textId="77777777" w:rsidR="00E45F2D" w:rsidRPr="00651377" w:rsidRDefault="00E45F2D" w:rsidP="0096224C">
      <w:pPr>
        <w:pStyle w:val="Heading1"/>
        <w:numPr>
          <w:ilvl w:val="0"/>
          <w:numId w:val="5"/>
        </w:numPr>
        <w:jc w:val="left"/>
      </w:pPr>
      <w:r w:rsidRPr="00907481">
        <w:t>Roles &amp; Responsibilities</w:t>
      </w:r>
    </w:p>
    <w:tbl>
      <w:tblPr>
        <w:tblStyle w:val="TableGrid"/>
        <w:tblW w:w="9781" w:type="dxa"/>
        <w:tblInd w:w="-147" w:type="dxa"/>
        <w:tblLook w:val="04A0" w:firstRow="1" w:lastRow="0" w:firstColumn="1" w:lastColumn="0" w:noHBand="0" w:noVBand="1"/>
      </w:tblPr>
      <w:tblGrid>
        <w:gridCol w:w="2269"/>
        <w:gridCol w:w="7512"/>
      </w:tblGrid>
      <w:tr w:rsidR="00E45F2D" w14:paraId="31D8F60D" w14:textId="77777777" w:rsidTr="00E45F2D">
        <w:trPr>
          <w:trHeight w:val="286"/>
        </w:trPr>
        <w:tc>
          <w:tcPr>
            <w:tcW w:w="2269" w:type="dxa"/>
            <w:shd w:val="clear" w:color="auto" w:fill="000000" w:themeFill="text1"/>
          </w:tcPr>
          <w:p w14:paraId="458EB125" w14:textId="77777777" w:rsidR="00E45F2D" w:rsidRPr="00E45F2D" w:rsidRDefault="00E45F2D" w:rsidP="0096224C">
            <w:pPr>
              <w:rPr>
                <w:b/>
                <w:color w:val="FFFFFF" w:themeColor="background1"/>
              </w:rPr>
            </w:pPr>
            <w:r w:rsidRPr="00E45F2D">
              <w:rPr>
                <w:b/>
                <w:color w:val="FFFFFF" w:themeColor="background1"/>
              </w:rPr>
              <w:t>STAKEHOLDER</w:t>
            </w:r>
          </w:p>
        </w:tc>
        <w:tc>
          <w:tcPr>
            <w:tcW w:w="7512" w:type="dxa"/>
            <w:shd w:val="clear" w:color="auto" w:fill="000000" w:themeFill="text1"/>
          </w:tcPr>
          <w:p w14:paraId="0E2EBB6D" w14:textId="77777777" w:rsidR="00E45F2D" w:rsidRPr="00E45F2D" w:rsidRDefault="00E45F2D" w:rsidP="0096224C">
            <w:pPr>
              <w:rPr>
                <w:b/>
                <w:color w:val="FFFFFF" w:themeColor="background1"/>
              </w:rPr>
            </w:pPr>
            <w:r w:rsidRPr="00E45F2D">
              <w:rPr>
                <w:b/>
                <w:color w:val="FFFFFF" w:themeColor="background1"/>
              </w:rPr>
              <w:t>RESPONSIBILTIES</w:t>
            </w:r>
          </w:p>
        </w:tc>
      </w:tr>
      <w:tr w:rsidR="00302118" w14:paraId="53D576A5" w14:textId="77777777" w:rsidTr="00E45F2D">
        <w:trPr>
          <w:trHeight w:val="270"/>
        </w:trPr>
        <w:tc>
          <w:tcPr>
            <w:tcW w:w="2269" w:type="dxa"/>
          </w:tcPr>
          <w:p w14:paraId="6B642610" w14:textId="77777777" w:rsidR="00302118" w:rsidRDefault="00D843F1" w:rsidP="0096224C">
            <w:r>
              <w:t>Executive Committee</w:t>
            </w:r>
          </w:p>
        </w:tc>
        <w:tc>
          <w:tcPr>
            <w:tcW w:w="7512" w:type="dxa"/>
          </w:tcPr>
          <w:p w14:paraId="7C152FBE" w14:textId="77777777" w:rsidR="00302118" w:rsidRDefault="00D843F1" w:rsidP="0096224C">
            <w:pPr>
              <w:pStyle w:val="ListParagraph"/>
              <w:numPr>
                <w:ilvl w:val="0"/>
                <w:numId w:val="1"/>
              </w:numPr>
            </w:pPr>
            <w:r>
              <w:t>Approve and formally support this policy.</w:t>
            </w:r>
          </w:p>
        </w:tc>
      </w:tr>
      <w:tr w:rsidR="00E45F2D" w14:paraId="5320783A" w14:textId="77777777" w:rsidTr="00E45F2D">
        <w:trPr>
          <w:trHeight w:val="270"/>
        </w:trPr>
        <w:tc>
          <w:tcPr>
            <w:tcW w:w="2269" w:type="dxa"/>
          </w:tcPr>
          <w:p w14:paraId="3F358410" w14:textId="7A4E8F2A" w:rsidR="00E45F2D" w:rsidRDefault="00D843F1" w:rsidP="0096224C">
            <w:r>
              <w:t>Vice</w:t>
            </w:r>
            <w:r w:rsidR="00CE3FE5">
              <w:t xml:space="preserve"> </w:t>
            </w:r>
            <w:r>
              <w:t>President Academic</w:t>
            </w:r>
          </w:p>
        </w:tc>
        <w:tc>
          <w:tcPr>
            <w:tcW w:w="7512" w:type="dxa"/>
          </w:tcPr>
          <w:p w14:paraId="031837C7" w14:textId="77777777" w:rsidR="000653BF" w:rsidRDefault="00D843F1" w:rsidP="0096224C">
            <w:pPr>
              <w:pStyle w:val="ListParagraph"/>
              <w:numPr>
                <w:ilvl w:val="0"/>
                <w:numId w:val="1"/>
              </w:numPr>
            </w:pPr>
            <w:r>
              <w:t>Review and formally support this policy.</w:t>
            </w:r>
          </w:p>
        </w:tc>
      </w:tr>
      <w:tr w:rsidR="00E45F2D" w14:paraId="4F9DC6E6" w14:textId="77777777" w:rsidTr="007602C0">
        <w:trPr>
          <w:cantSplit/>
          <w:trHeight w:val="286"/>
        </w:trPr>
        <w:tc>
          <w:tcPr>
            <w:tcW w:w="2269" w:type="dxa"/>
          </w:tcPr>
          <w:p w14:paraId="1FB125FC" w14:textId="77777777" w:rsidR="00E45F2D" w:rsidRDefault="00682910" w:rsidP="0096224C">
            <w:r>
              <w:t>Deans’ Council</w:t>
            </w:r>
          </w:p>
        </w:tc>
        <w:tc>
          <w:tcPr>
            <w:tcW w:w="7512" w:type="dxa"/>
          </w:tcPr>
          <w:p w14:paraId="6A0B0804" w14:textId="77777777" w:rsidR="00682910" w:rsidRDefault="00682910" w:rsidP="0096224C">
            <w:pPr>
              <w:pStyle w:val="ListParagraph"/>
              <w:numPr>
                <w:ilvl w:val="0"/>
                <w:numId w:val="2"/>
              </w:numPr>
            </w:pPr>
            <w:r>
              <w:t xml:space="preserve">Develop and maintain this policy. </w:t>
            </w:r>
          </w:p>
          <w:p w14:paraId="443F68A1" w14:textId="77777777" w:rsidR="00302118" w:rsidRDefault="00682910" w:rsidP="0096224C">
            <w:pPr>
              <w:pStyle w:val="ListParagraph"/>
              <w:numPr>
                <w:ilvl w:val="0"/>
                <w:numId w:val="2"/>
              </w:numPr>
            </w:pPr>
            <w:r>
              <w:t>Take proactive steps to reinforce compliance with this policy by all stakeholders.</w:t>
            </w:r>
          </w:p>
        </w:tc>
      </w:tr>
      <w:tr w:rsidR="00E45F2D" w14:paraId="0228D288" w14:textId="77777777" w:rsidTr="00E45F2D">
        <w:trPr>
          <w:trHeight w:val="270"/>
        </w:trPr>
        <w:tc>
          <w:tcPr>
            <w:tcW w:w="2269" w:type="dxa"/>
          </w:tcPr>
          <w:p w14:paraId="72E43A4C" w14:textId="77777777" w:rsidR="00E45F2D" w:rsidRDefault="00682910" w:rsidP="0096224C">
            <w:r>
              <w:t>Managers, Supervisors, or Representatives</w:t>
            </w:r>
          </w:p>
        </w:tc>
        <w:tc>
          <w:tcPr>
            <w:tcW w:w="7512" w:type="dxa"/>
          </w:tcPr>
          <w:p w14:paraId="389D6028" w14:textId="6D0B72BF" w:rsidR="00682910" w:rsidRDefault="00682910" w:rsidP="0096224C">
            <w:pPr>
              <w:pStyle w:val="ListParagraph"/>
              <w:numPr>
                <w:ilvl w:val="0"/>
                <w:numId w:val="3"/>
              </w:numPr>
            </w:pPr>
            <w:r>
              <w:t xml:space="preserve">Explain the terms of this policy to </w:t>
            </w:r>
            <w:r w:rsidR="00306A2B" w:rsidRPr="00B732D4">
              <w:rPr>
                <w:szCs w:val="20"/>
              </w:rPr>
              <w:t>faculty</w:t>
            </w:r>
            <w:r w:rsidR="00306A2B">
              <w:rPr>
                <w:szCs w:val="20"/>
              </w:rPr>
              <w:t>, s</w:t>
            </w:r>
            <w:r w:rsidR="00306A2B" w:rsidRPr="00B732D4">
              <w:rPr>
                <w:szCs w:val="20"/>
              </w:rPr>
              <w:t>taff</w:t>
            </w:r>
            <w:r w:rsidR="00306A2B">
              <w:rPr>
                <w:szCs w:val="20"/>
              </w:rPr>
              <w:t xml:space="preserve"> and students</w:t>
            </w:r>
            <w:r w:rsidR="00306A2B" w:rsidRPr="00B732D4">
              <w:rPr>
                <w:szCs w:val="20"/>
              </w:rPr>
              <w:t xml:space="preserve">, as well as contractors, consultants, clients, and volunteers </w:t>
            </w:r>
            <w:r>
              <w:t>and assist users to understand the requirements of this policy.</w:t>
            </w:r>
          </w:p>
          <w:p w14:paraId="087EC3C3" w14:textId="77777777" w:rsidR="00E45F2D" w:rsidRDefault="00682910" w:rsidP="0096224C">
            <w:pPr>
              <w:pStyle w:val="ListParagraph"/>
              <w:numPr>
                <w:ilvl w:val="0"/>
                <w:numId w:val="3"/>
              </w:numPr>
            </w:pPr>
            <w:r>
              <w:t>Ensure that all stakeholders follow the requirements of this policy.</w:t>
            </w:r>
          </w:p>
        </w:tc>
      </w:tr>
      <w:tr w:rsidR="00682910" w14:paraId="39D17AE7" w14:textId="77777777" w:rsidTr="00E45F2D">
        <w:trPr>
          <w:trHeight w:val="270"/>
        </w:trPr>
        <w:tc>
          <w:tcPr>
            <w:tcW w:w="2269" w:type="dxa"/>
          </w:tcPr>
          <w:p w14:paraId="732151D7" w14:textId="77777777" w:rsidR="00682910" w:rsidRDefault="006A26E3" w:rsidP="0096224C">
            <w:r>
              <w:lastRenderedPageBreak/>
              <w:t>Procurement and Managers</w:t>
            </w:r>
          </w:p>
        </w:tc>
        <w:tc>
          <w:tcPr>
            <w:tcW w:w="7512" w:type="dxa"/>
          </w:tcPr>
          <w:p w14:paraId="604DAC47" w14:textId="77777777" w:rsidR="002320E6" w:rsidRDefault="002320E6" w:rsidP="0096224C">
            <w:pPr>
              <w:pStyle w:val="ListParagraph"/>
              <w:numPr>
                <w:ilvl w:val="0"/>
                <w:numId w:val="3"/>
              </w:numPr>
            </w:pPr>
            <w:r>
              <w:t>Follow the guidelines provided in this policy when performing due diligence and assessment of the risks related to intellectual property for any new contracts with third parties.</w:t>
            </w:r>
          </w:p>
          <w:p w14:paraId="1ED7046D" w14:textId="77777777" w:rsidR="00682910" w:rsidRDefault="002320E6" w:rsidP="0096224C">
            <w:pPr>
              <w:pStyle w:val="ListParagraph"/>
              <w:numPr>
                <w:ilvl w:val="0"/>
                <w:numId w:val="3"/>
              </w:numPr>
            </w:pPr>
            <w:r>
              <w:t>Ensure that responsibilities and obligations of each party to the contractual relationship are outlined in the contract executed between the College and the contractor/sub-contractor.</w:t>
            </w:r>
          </w:p>
        </w:tc>
      </w:tr>
      <w:tr w:rsidR="00682910" w14:paraId="5155AA82" w14:textId="77777777" w:rsidTr="00E45F2D">
        <w:trPr>
          <w:trHeight w:val="270"/>
        </w:trPr>
        <w:tc>
          <w:tcPr>
            <w:tcW w:w="2269" w:type="dxa"/>
          </w:tcPr>
          <w:p w14:paraId="3464B753" w14:textId="77777777" w:rsidR="00682910" w:rsidRDefault="002320E6" w:rsidP="0096224C">
            <w:r>
              <w:t>Human Resources</w:t>
            </w:r>
          </w:p>
        </w:tc>
        <w:tc>
          <w:tcPr>
            <w:tcW w:w="7512" w:type="dxa"/>
          </w:tcPr>
          <w:p w14:paraId="16D9C8F7" w14:textId="77777777" w:rsidR="002320E6" w:rsidRDefault="002320E6" w:rsidP="0096224C">
            <w:pPr>
              <w:pStyle w:val="ListParagraph"/>
              <w:numPr>
                <w:ilvl w:val="0"/>
                <w:numId w:val="3"/>
              </w:numPr>
            </w:pPr>
            <w:r>
              <w:t xml:space="preserve">Ensure each new employee has read and signed off understood this policy upon the first 7 days of employment with the College. </w:t>
            </w:r>
          </w:p>
          <w:p w14:paraId="3BFF6F17" w14:textId="77777777" w:rsidR="00682910" w:rsidRDefault="002320E6" w:rsidP="0096224C">
            <w:pPr>
              <w:pStyle w:val="ListParagraph"/>
              <w:numPr>
                <w:ilvl w:val="0"/>
                <w:numId w:val="3"/>
              </w:numPr>
            </w:pPr>
            <w:r>
              <w:t>Support all employees in the understanding of the requirements of this policy.</w:t>
            </w:r>
          </w:p>
        </w:tc>
      </w:tr>
      <w:tr w:rsidR="00682910" w14:paraId="12676D3D" w14:textId="77777777" w:rsidTr="00E45F2D">
        <w:trPr>
          <w:trHeight w:val="270"/>
        </w:trPr>
        <w:tc>
          <w:tcPr>
            <w:tcW w:w="2269" w:type="dxa"/>
          </w:tcPr>
          <w:p w14:paraId="5E7B1F4E" w14:textId="45C9CE28" w:rsidR="00682910" w:rsidRDefault="00AC5677" w:rsidP="0096224C">
            <w:r>
              <w:t>All users (faculty, staff, students, and third parties)</w:t>
            </w:r>
          </w:p>
        </w:tc>
        <w:tc>
          <w:tcPr>
            <w:tcW w:w="7512" w:type="dxa"/>
          </w:tcPr>
          <w:p w14:paraId="346CEA9F" w14:textId="77777777" w:rsidR="002320E6" w:rsidRDefault="002320E6" w:rsidP="0096224C">
            <w:pPr>
              <w:pStyle w:val="ListParagraph"/>
              <w:numPr>
                <w:ilvl w:val="0"/>
                <w:numId w:val="3"/>
              </w:numPr>
            </w:pPr>
            <w:r>
              <w:t>Comply with the requirements of this policy as applicable to them at all times.</w:t>
            </w:r>
          </w:p>
          <w:p w14:paraId="5171B632" w14:textId="77777777" w:rsidR="00682910" w:rsidRDefault="002320E6" w:rsidP="0096224C">
            <w:pPr>
              <w:pStyle w:val="ListParagraph"/>
              <w:numPr>
                <w:ilvl w:val="0"/>
                <w:numId w:val="3"/>
              </w:numPr>
            </w:pPr>
            <w:r>
              <w:t>Report all non-compliance instances with this policy (observed or suspected) to the Vice</w:t>
            </w:r>
            <w:r w:rsidR="00CE3FE5">
              <w:t xml:space="preserve"> </w:t>
            </w:r>
            <w:r>
              <w:t>President Academic as soon as possible.</w:t>
            </w:r>
          </w:p>
        </w:tc>
      </w:tr>
    </w:tbl>
    <w:p w14:paraId="24D6852B" w14:textId="77777777" w:rsidR="003040C5" w:rsidRDefault="003040C5" w:rsidP="0096224C">
      <w:pPr>
        <w:spacing w:after="0"/>
      </w:pPr>
    </w:p>
    <w:p w14:paraId="54BF8B73" w14:textId="77777777" w:rsidR="000526E2" w:rsidRDefault="000526E2" w:rsidP="0096224C">
      <w:pPr>
        <w:spacing w:after="0"/>
      </w:pPr>
    </w:p>
    <w:p w14:paraId="5355A9E5" w14:textId="77777777" w:rsidR="003040C5" w:rsidRPr="00651377" w:rsidRDefault="00907481" w:rsidP="0096224C">
      <w:pPr>
        <w:pStyle w:val="Heading1"/>
        <w:numPr>
          <w:ilvl w:val="0"/>
          <w:numId w:val="5"/>
        </w:numPr>
        <w:jc w:val="left"/>
      </w:pPr>
      <w:r w:rsidRPr="00907481">
        <w:t>Policy Management</w:t>
      </w:r>
    </w:p>
    <w:tbl>
      <w:tblPr>
        <w:tblStyle w:val="TableGrid"/>
        <w:tblW w:w="9781" w:type="dxa"/>
        <w:tblInd w:w="-147" w:type="dxa"/>
        <w:tblLook w:val="04A0" w:firstRow="1" w:lastRow="0" w:firstColumn="1" w:lastColumn="0" w:noHBand="0" w:noVBand="1"/>
      </w:tblPr>
      <w:tblGrid>
        <w:gridCol w:w="2547"/>
        <w:gridCol w:w="7234"/>
      </w:tblGrid>
      <w:tr w:rsidR="003040C5" w14:paraId="61D78C45" w14:textId="77777777" w:rsidTr="00353836">
        <w:tc>
          <w:tcPr>
            <w:tcW w:w="2547" w:type="dxa"/>
          </w:tcPr>
          <w:p w14:paraId="18639E58" w14:textId="77777777" w:rsidR="003040C5" w:rsidRDefault="003040C5" w:rsidP="0096224C">
            <w:r>
              <w:t>Policy Title:</w:t>
            </w:r>
          </w:p>
        </w:tc>
        <w:tc>
          <w:tcPr>
            <w:tcW w:w="7234" w:type="dxa"/>
          </w:tcPr>
          <w:p w14:paraId="40BE5BE1" w14:textId="77777777" w:rsidR="003040C5" w:rsidRDefault="003E009B" w:rsidP="0096224C">
            <w:r w:rsidRPr="003E009B">
              <w:t>Academic Freedom Policy</w:t>
            </w:r>
          </w:p>
        </w:tc>
      </w:tr>
      <w:tr w:rsidR="003040C5" w14:paraId="010A178C" w14:textId="77777777" w:rsidTr="00353836">
        <w:tc>
          <w:tcPr>
            <w:tcW w:w="2547" w:type="dxa"/>
          </w:tcPr>
          <w:p w14:paraId="252D227D" w14:textId="77777777" w:rsidR="003040C5" w:rsidRDefault="003040C5" w:rsidP="0096224C">
            <w:r>
              <w:t>Approval Date:</w:t>
            </w:r>
          </w:p>
        </w:tc>
        <w:tc>
          <w:tcPr>
            <w:tcW w:w="7234" w:type="dxa"/>
          </w:tcPr>
          <w:p w14:paraId="4F90CCB5" w14:textId="31A97FB0" w:rsidR="003040C5" w:rsidRDefault="00EC7A34" w:rsidP="0096224C">
            <w:r>
              <w:t>July 15, 2018</w:t>
            </w:r>
          </w:p>
        </w:tc>
      </w:tr>
      <w:tr w:rsidR="003040C5" w14:paraId="7E469874" w14:textId="77777777" w:rsidTr="00353836">
        <w:tc>
          <w:tcPr>
            <w:tcW w:w="2547" w:type="dxa"/>
          </w:tcPr>
          <w:p w14:paraId="7B35F686" w14:textId="77777777" w:rsidR="003040C5" w:rsidRDefault="003040C5" w:rsidP="0096224C">
            <w:r>
              <w:t>Effective Date:</w:t>
            </w:r>
          </w:p>
        </w:tc>
        <w:tc>
          <w:tcPr>
            <w:tcW w:w="7234" w:type="dxa"/>
          </w:tcPr>
          <w:p w14:paraId="603F7A60" w14:textId="4E946338" w:rsidR="003040C5" w:rsidRDefault="00EC7A34" w:rsidP="0096224C">
            <w:r>
              <w:t>August 27, 2018</w:t>
            </w:r>
          </w:p>
        </w:tc>
      </w:tr>
      <w:tr w:rsidR="003040C5" w14:paraId="4EA2B79C" w14:textId="77777777" w:rsidTr="00353836">
        <w:tc>
          <w:tcPr>
            <w:tcW w:w="2547" w:type="dxa"/>
          </w:tcPr>
          <w:p w14:paraId="75538356" w14:textId="77777777" w:rsidR="003040C5" w:rsidRDefault="003040C5" w:rsidP="0096224C">
            <w:r>
              <w:t>Historical Review Dates:</w:t>
            </w:r>
          </w:p>
        </w:tc>
        <w:tc>
          <w:tcPr>
            <w:tcW w:w="7234" w:type="dxa"/>
          </w:tcPr>
          <w:p w14:paraId="1FE27B59" w14:textId="5724E0FB" w:rsidR="003040C5" w:rsidRDefault="00D77B2A" w:rsidP="0096224C">
            <w:r>
              <w:t>February, 2020</w:t>
            </w:r>
          </w:p>
        </w:tc>
      </w:tr>
      <w:tr w:rsidR="003040C5" w14:paraId="51948C66" w14:textId="77777777" w:rsidTr="00353836">
        <w:tc>
          <w:tcPr>
            <w:tcW w:w="2547" w:type="dxa"/>
          </w:tcPr>
          <w:p w14:paraId="536AB0F0" w14:textId="77777777" w:rsidR="003040C5" w:rsidRDefault="003040C5" w:rsidP="0096224C">
            <w:r>
              <w:t>Next Review Date:</w:t>
            </w:r>
          </w:p>
        </w:tc>
        <w:tc>
          <w:tcPr>
            <w:tcW w:w="7234" w:type="dxa"/>
          </w:tcPr>
          <w:p w14:paraId="3F12DC27" w14:textId="14BDF4A3" w:rsidR="003040C5" w:rsidRDefault="00D77B2A" w:rsidP="0096224C">
            <w:r>
              <w:t>February, 2023</w:t>
            </w:r>
          </w:p>
        </w:tc>
      </w:tr>
      <w:tr w:rsidR="003040C5" w14:paraId="561E41FD" w14:textId="77777777" w:rsidTr="00353836">
        <w:tc>
          <w:tcPr>
            <w:tcW w:w="2547" w:type="dxa"/>
          </w:tcPr>
          <w:p w14:paraId="4ADB02CA" w14:textId="77777777" w:rsidR="003040C5" w:rsidRDefault="003040C5" w:rsidP="0096224C">
            <w:r>
              <w:t>Related Legislation:</w:t>
            </w:r>
          </w:p>
        </w:tc>
        <w:tc>
          <w:tcPr>
            <w:tcW w:w="7234" w:type="dxa"/>
          </w:tcPr>
          <w:p w14:paraId="4F06E223" w14:textId="4436CCB7" w:rsidR="003F37AD" w:rsidRDefault="001E6B7D" w:rsidP="0096224C">
            <w:r>
              <w:t>Post-Secondary Learning Act (</w:t>
            </w:r>
            <w:hyperlink r:id="rId13" w:history="1">
              <w:r w:rsidRPr="00BA5D2E">
                <w:rPr>
                  <w:rStyle w:val="Hyperlink"/>
                </w:rPr>
                <w:t>http://www.qp.alberta.ca/++documents/Acts/p19p5.pdf</w:t>
              </w:r>
            </w:hyperlink>
            <w:r>
              <w:t>)</w:t>
            </w:r>
          </w:p>
        </w:tc>
      </w:tr>
      <w:tr w:rsidR="003040C5" w14:paraId="16B5B225" w14:textId="77777777" w:rsidTr="00353836">
        <w:tc>
          <w:tcPr>
            <w:tcW w:w="2547" w:type="dxa"/>
          </w:tcPr>
          <w:p w14:paraId="61D6689D" w14:textId="77777777" w:rsidR="003040C5" w:rsidRDefault="003040C5" w:rsidP="0096224C">
            <w:r>
              <w:t>Supersedes Policies:</w:t>
            </w:r>
          </w:p>
        </w:tc>
        <w:tc>
          <w:tcPr>
            <w:tcW w:w="7234" w:type="dxa"/>
          </w:tcPr>
          <w:p w14:paraId="797849D7" w14:textId="77777777" w:rsidR="003040C5" w:rsidRDefault="004F6BBA" w:rsidP="0096224C">
            <w:r>
              <w:t>N/A</w:t>
            </w:r>
          </w:p>
        </w:tc>
      </w:tr>
      <w:tr w:rsidR="003040C5" w14:paraId="70DECBB6" w14:textId="77777777" w:rsidTr="00353836">
        <w:tc>
          <w:tcPr>
            <w:tcW w:w="2547" w:type="dxa"/>
          </w:tcPr>
          <w:p w14:paraId="538004CA" w14:textId="77777777" w:rsidR="003040C5" w:rsidRDefault="003040C5" w:rsidP="0096224C">
            <w:r>
              <w:t>Monitoring</w:t>
            </w:r>
            <w:r w:rsidR="00F1502C">
              <w:t>/Frequency</w:t>
            </w:r>
            <w:r>
              <w:t>:</w:t>
            </w:r>
          </w:p>
        </w:tc>
        <w:tc>
          <w:tcPr>
            <w:tcW w:w="7234" w:type="dxa"/>
          </w:tcPr>
          <w:p w14:paraId="7144A0EE" w14:textId="77777777" w:rsidR="0080083E" w:rsidRDefault="004F6BBA" w:rsidP="0096224C">
            <w:pPr>
              <w:pStyle w:val="ListParagraph"/>
              <w:numPr>
                <w:ilvl w:val="0"/>
                <w:numId w:val="3"/>
              </w:numPr>
            </w:pPr>
            <w:r>
              <w:t>Monitoring of compliance activities will be reviewed at a minimum, once a year.</w:t>
            </w:r>
          </w:p>
        </w:tc>
      </w:tr>
      <w:tr w:rsidR="003040C5" w14:paraId="376FAD85" w14:textId="77777777" w:rsidTr="00353836">
        <w:tc>
          <w:tcPr>
            <w:tcW w:w="2547" w:type="dxa"/>
          </w:tcPr>
          <w:p w14:paraId="2E39EBB2" w14:textId="77777777" w:rsidR="003040C5" w:rsidRDefault="003040C5" w:rsidP="0096224C">
            <w:r>
              <w:t>Policy Owner:</w:t>
            </w:r>
          </w:p>
        </w:tc>
        <w:tc>
          <w:tcPr>
            <w:tcW w:w="7234" w:type="dxa"/>
          </w:tcPr>
          <w:p w14:paraId="7F13D8C3" w14:textId="77777777" w:rsidR="003040C5" w:rsidRDefault="00CE3FE5" w:rsidP="0096224C">
            <w:r>
              <w:t>Vice President Academic</w:t>
            </w:r>
          </w:p>
        </w:tc>
      </w:tr>
      <w:tr w:rsidR="003040C5" w14:paraId="02BA8F4A" w14:textId="77777777" w:rsidTr="00353836">
        <w:tc>
          <w:tcPr>
            <w:tcW w:w="2547" w:type="dxa"/>
          </w:tcPr>
          <w:p w14:paraId="5260AABF" w14:textId="77777777" w:rsidR="003040C5" w:rsidRDefault="003040C5" w:rsidP="0096224C">
            <w:r>
              <w:t>Policy Administrator:</w:t>
            </w:r>
          </w:p>
        </w:tc>
        <w:tc>
          <w:tcPr>
            <w:tcW w:w="7234" w:type="dxa"/>
          </w:tcPr>
          <w:p w14:paraId="61833CA6" w14:textId="4BD8C921" w:rsidR="003040C5" w:rsidRDefault="00EB2869" w:rsidP="0096224C">
            <w:r w:rsidRPr="00EB2869">
              <w:t>Director, Quality Assurance and Research Services</w:t>
            </w:r>
          </w:p>
        </w:tc>
      </w:tr>
      <w:tr w:rsidR="003040C5" w14:paraId="7B7C120F" w14:textId="77777777" w:rsidTr="00353836">
        <w:tc>
          <w:tcPr>
            <w:tcW w:w="2547" w:type="dxa"/>
          </w:tcPr>
          <w:p w14:paraId="4A17BB56" w14:textId="77777777" w:rsidR="003040C5" w:rsidRDefault="00663F35" w:rsidP="0096224C">
            <w:r>
              <w:t>Policy Coordinator</w:t>
            </w:r>
            <w:r w:rsidR="003040C5">
              <w:t>:</w:t>
            </w:r>
          </w:p>
        </w:tc>
        <w:tc>
          <w:tcPr>
            <w:tcW w:w="7234" w:type="dxa"/>
          </w:tcPr>
          <w:p w14:paraId="0B7AA797" w14:textId="337578C4" w:rsidR="003040C5" w:rsidRDefault="00CD30B5" w:rsidP="0096224C">
            <w:r>
              <w:t>Executive Assistant, Academic</w:t>
            </w:r>
          </w:p>
        </w:tc>
      </w:tr>
    </w:tbl>
    <w:p w14:paraId="61CDD138" w14:textId="153AC12B" w:rsidR="00F54173" w:rsidRDefault="00F54173" w:rsidP="0096224C"/>
    <w:sectPr w:rsidR="00F54173" w:rsidSect="000526E2">
      <w:headerReference w:type="default" r:id="rId14"/>
      <w:footerReference w:type="default" r:id="rId15"/>
      <w:pgSz w:w="12240" w:h="15840"/>
      <w:pgMar w:top="1440" w:right="1325" w:bottom="1260" w:left="1440"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B0CA5" w14:textId="77777777" w:rsidR="00E060A8" w:rsidRDefault="00E060A8" w:rsidP="00D87552">
      <w:pPr>
        <w:spacing w:after="0" w:line="240" w:lineRule="auto"/>
      </w:pPr>
      <w:r>
        <w:separator/>
      </w:r>
    </w:p>
  </w:endnote>
  <w:endnote w:type="continuationSeparator" w:id="0">
    <w:p w14:paraId="5245FCF2" w14:textId="77777777" w:rsidR="00E060A8" w:rsidRDefault="00E060A8" w:rsidP="00D8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323855"/>
      <w:docPartObj>
        <w:docPartGallery w:val="Page Numbers (Bottom of Page)"/>
        <w:docPartUnique/>
      </w:docPartObj>
    </w:sdtPr>
    <w:sdtEndPr>
      <w:rPr>
        <w:noProof/>
      </w:rPr>
    </w:sdtEndPr>
    <w:sdtContent>
      <w:p w14:paraId="1348D878" w14:textId="03BCC5E2" w:rsidR="00CD29AC" w:rsidRDefault="00CD29AC">
        <w:pPr>
          <w:pStyle w:val="Footer"/>
          <w:jc w:val="right"/>
        </w:pPr>
        <w:r>
          <w:fldChar w:fldCharType="begin"/>
        </w:r>
        <w:r>
          <w:instrText xml:space="preserve"> PAGE   \* MERGEFORMAT </w:instrText>
        </w:r>
        <w:r>
          <w:fldChar w:fldCharType="separate"/>
        </w:r>
        <w:r w:rsidR="00705794">
          <w:rPr>
            <w:noProof/>
          </w:rPr>
          <w:t>4</w:t>
        </w:r>
        <w:r>
          <w:rPr>
            <w:noProof/>
          </w:rPr>
          <w:fldChar w:fldCharType="end"/>
        </w:r>
      </w:p>
    </w:sdtContent>
  </w:sdt>
  <w:p w14:paraId="6CA53707" w14:textId="77777777" w:rsidR="00A86BAE" w:rsidRDefault="00A8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3AE7" w14:textId="77777777" w:rsidR="00E060A8" w:rsidRDefault="00E060A8" w:rsidP="00D87552">
      <w:pPr>
        <w:spacing w:after="0" w:line="240" w:lineRule="auto"/>
      </w:pPr>
      <w:r>
        <w:separator/>
      </w:r>
    </w:p>
  </w:footnote>
  <w:footnote w:type="continuationSeparator" w:id="0">
    <w:p w14:paraId="6E37733C" w14:textId="77777777" w:rsidR="00E060A8" w:rsidRDefault="00E060A8" w:rsidP="00D87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4855" w14:textId="77777777" w:rsidR="00D87552" w:rsidRDefault="00D87552">
    <w:pPr>
      <w:pStyle w:val="Header"/>
    </w:pPr>
    <w:r w:rsidRPr="00694CD1">
      <w:rPr>
        <w:noProof/>
        <w:lang w:val="en-US"/>
      </w:rPr>
      <w:drawing>
        <wp:anchor distT="0" distB="0" distL="114300" distR="114300" simplePos="0" relativeHeight="251657216" behindDoc="1" locked="0" layoutInCell="1" allowOverlap="1" wp14:anchorId="4644AA03" wp14:editId="533B0DE1">
          <wp:simplePos x="0" y="0"/>
          <wp:positionH relativeFrom="margin">
            <wp:posOffset>4210050</wp:posOffset>
          </wp:positionH>
          <wp:positionV relativeFrom="paragraph">
            <wp:posOffset>-86360</wp:posOffset>
          </wp:positionV>
          <wp:extent cx="1724025" cy="533400"/>
          <wp:effectExtent l="0" t="0" r="9525" b="0"/>
          <wp:wrapTight wrapText="bothSides">
            <wp:wrapPolygon edited="0">
              <wp:start x="0" y="0"/>
              <wp:lineTo x="0" y="20829"/>
              <wp:lineTo x="21481" y="20829"/>
              <wp:lineTo x="21481" y="0"/>
              <wp:lineTo x="0" y="0"/>
            </wp:wrapPolygon>
          </wp:wrapTight>
          <wp:docPr id="17" name="Picture 17" descr="Q:\Marketing &amp; graphic Design\2013-2014\Bookmarks\Fitness Leadership\Links\KC_logo_Horz_No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amp; graphic Design\2013-2014\Bookmarks\Fitness Leadership\Links\KC_logo_Horz_No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010B"/>
    <w:multiLevelType w:val="hybridMultilevel"/>
    <w:tmpl w:val="72B2B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B8520B"/>
    <w:multiLevelType w:val="hybridMultilevel"/>
    <w:tmpl w:val="DBCA8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EB6F0F"/>
    <w:multiLevelType w:val="hybridMultilevel"/>
    <w:tmpl w:val="A89AA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BC6811"/>
    <w:multiLevelType w:val="multilevel"/>
    <w:tmpl w:val="02200234"/>
    <w:lvl w:ilvl="0">
      <w:start w:val="1"/>
      <w:numFmt w:val="decimal"/>
      <w:lvlText w:val="%1."/>
      <w:lvlJc w:val="left"/>
      <w:pPr>
        <w:ind w:left="360" w:hanging="360"/>
      </w:pPr>
      <w:rPr>
        <w:b/>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E37BF2"/>
    <w:multiLevelType w:val="hybridMultilevel"/>
    <w:tmpl w:val="6CD0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34D2B"/>
    <w:multiLevelType w:val="hybridMultilevel"/>
    <w:tmpl w:val="5ADE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D25B8"/>
    <w:multiLevelType w:val="hybridMultilevel"/>
    <w:tmpl w:val="55B44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B5629"/>
    <w:multiLevelType w:val="multilevel"/>
    <w:tmpl w:val="664AA26C"/>
    <w:lvl w:ilvl="0">
      <w:start w:val="1"/>
      <w:numFmt w:val="decimal"/>
      <w:lvlText w:val="%1."/>
      <w:lvlJc w:val="left"/>
      <w:pPr>
        <w:ind w:left="360" w:hanging="360"/>
      </w:pPr>
      <w:rPr>
        <w:b/>
      </w:rPr>
    </w:lvl>
    <w:lvl w:ilvl="1">
      <w:start w:val="1"/>
      <w:numFmt w:val="decimal"/>
      <w:pStyle w:val="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B72EE4"/>
    <w:multiLevelType w:val="hybridMultilevel"/>
    <w:tmpl w:val="AD90DBC0"/>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9" w15:restartNumberingAfterBreak="0">
    <w:nsid w:val="78535E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1"/>
  </w:num>
  <w:num w:numId="4">
    <w:abstractNumId w:val="9"/>
  </w:num>
  <w:num w:numId="5">
    <w:abstractNumId w:val="7"/>
  </w:num>
  <w:num w:numId="6">
    <w:abstractNumId w:val="6"/>
  </w:num>
  <w:num w:numId="7">
    <w:abstractNumId w:val="5"/>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8"/>
  </w:num>
  <w:num w:numId="17">
    <w:abstractNumId w:val="3"/>
  </w:num>
  <w:num w:numId="18">
    <w:abstractNumId w:val="7"/>
  </w:num>
  <w:num w:numId="19">
    <w:abstractNumId w:val="7"/>
  </w:num>
  <w:num w:numId="20">
    <w:abstractNumId w:val="4"/>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52"/>
    <w:rsid w:val="000201AE"/>
    <w:rsid w:val="00023BBE"/>
    <w:rsid w:val="0002529D"/>
    <w:rsid w:val="000320F7"/>
    <w:rsid w:val="0003733C"/>
    <w:rsid w:val="000511A9"/>
    <w:rsid w:val="000526E2"/>
    <w:rsid w:val="00054FEF"/>
    <w:rsid w:val="0006067A"/>
    <w:rsid w:val="00061107"/>
    <w:rsid w:val="000644C2"/>
    <w:rsid w:val="000653BF"/>
    <w:rsid w:val="000E27BB"/>
    <w:rsid w:val="0011498D"/>
    <w:rsid w:val="0015650F"/>
    <w:rsid w:val="00162D93"/>
    <w:rsid w:val="001E6B7D"/>
    <w:rsid w:val="002071D0"/>
    <w:rsid w:val="00216A27"/>
    <w:rsid w:val="00217D96"/>
    <w:rsid w:val="002247BF"/>
    <w:rsid w:val="00231771"/>
    <w:rsid w:val="002320E6"/>
    <w:rsid w:val="00240B4B"/>
    <w:rsid w:val="00276C28"/>
    <w:rsid w:val="002D124E"/>
    <w:rsid w:val="002E10D5"/>
    <w:rsid w:val="002E1F65"/>
    <w:rsid w:val="00302118"/>
    <w:rsid w:val="0030370F"/>
    <w:rsid w:val="003040C5"/>
    <w:rsid w:val="00306A2B"/>
    <w:rsid w:val="00326D05"/>
    <w:rsid w:val="00336CA6"/>
    <w:rsid w:val="0034143E"/>
    <w:rsid w:val="00353836"/>
    <w:rsid w:val="003E009B"/>
    <w:rsid w:val="003E4792"/>
    <w:rsid w:val="003F2805"/>
    <w:rsid w:val="003F37AD"/>
    <w:rsid w:val="003F6234"/>
    <w:rsid w:val="0041358D"/>
    <w:rsid w:val="00414F1C"/>
    <w:rsid w:val="004457E6"/>
    <w:rsid w:val="00497F11"/>
    <w:rsid w:val="004D4239"/>
    <w:rsid w:val="004E6DD4"/>
    <w:rsid w:val="004F1F23"/>
    <w:rsid w:val="004F6BBA"/>
    <w:rsid w:val="00501650"/>
    <w:rsid w:val="005036A7"/>
    <w:rsid w:val="00521AED"/>
    <w:rsid w:val="00556CAB"/>
    <w:rsid w:val="00560B5C"/>
    <w:rsid w:val="0056190E"/>
    <w:rsid w:val="00565EEC"/>
    <w:rsid w:val="0057685B"/>
    <w:rsid w:val="00577F61"/>
    <w:rsid w:val="005E7F37"/>
    <w:rsid w:val="006077A0"/>
    <w:rsid w:val="006173D5"/>
    <w:rsid w:val="00635057"/>
    <w:rsid w:val="00635A87"/>
    <w:rsid w:val="00643AA1"/>
    <w:rsid w:val="00643CBD"/>
    <w:rsid w:val="00651377"/>
    <w:rsid w:val="00662174"/>
    <w:rsid w:val="00663DDE"/>
    <w:rsid w:val="00663F35"/>
    <w:rsid w:val="00664AE4"/>
    <w:rsid w:val="00682910"/>
    <w:rsid w:val="00686FFA"/>
    <w:rsid w:val="006A26E3"/>
    <w:rsid w:val="006E68B1"/>
    <w:rsid w:val="00705794"/>
    <w:rsid w:val="007140EE"/>
    <w:rsid w:val="0073040D"/>
    <w:rsid w:val="007361F9"/>
    <w:rsid w:val="00743FC7"/>
    <w:rsid w:val="007602C0"/>
    <w:rsid w:val="00760B46"/>
    <w:rsid w:val="00766273"/>
    <w:rsid w:val="0078058B"/>
    <w:rsid w:val="007817A3"/>
    <w:rsid w:val="007A132F"/>
    <w:rsid w:val="007B7473"/>
    <w:rsid w:val="007C143A"/>
    <w:rsid w:val="007C1A1B"/>
    <w:rsid w:val="007D54EB"/>
    <w:rsid w:val="007E75F7"/>
    <w:rsid w:val="007F1CA1"/>
    <w:rsid w:val="007F312B"/>
    <w:rsid w:val="0080083E"/>
    <w:rsid w:val="0080482B"/>
    <w:rsid w:val="008654CF"/>
    <w:rsid w:val="008737EF"/>
    <w:rsid w:val="008B5F4B"/>
    <w:rsid w:val="008C389B"/>
    <w:rsid w:val="00907481"/>
    <w:rsid w:val="00923D72"/>
    <w:rsid w:val="00942733"/>
    <w:rsid w:val="00946152"/>
    <w:rsid w:val="0096224C"/>
    <w:rsid w:val="009661B8"/>
    <w:rsid w:val="009A0414"/>
    <w:rsid w:val="009C4754"/>
    <w:rsid w:val="009D64E6"/>
    <w:rsid w:val="009E0A26"/>
    <w:rsid w:val="00A1341C"/>
    <w:rsid w:val="00A15572"/>
    <w:rsid w:val="00A1788F"/>
    <w:rsid w:val="00A364A4"/>
    <w:rsid w:val="00A5337E"/>
    <w:rsid w:val="00A86BAE"/>
    <w:rsid w:val="00A955EB"/>
    <w:rsid w:val="00A97175"/>
    <w:rsid w:val="00AA2C04"/>
    <w:rsid w:val="00AA5568"/>
    <w:rsid w:val="00AB3949"/>
    <w:rsid w:val="00AC482D"/>
    <w:rsid w:val="00AC5677"/>
    <w:rsid w:val="00AD7AB6"/>
    <w:rsid w:val="00AE7ABE"/>
    <w:rsid w:val="00B36243"/>
    <w:rsid w:val="00B72570"/>
    <w:rsid w:val="00B9102A"/>
    <w:rsid w:val="00BC0E4C"/>
    <w:rsid w:val="00BC13DA"/>
    <w:rsid w:val="00BD2486"/>
    <w:rsid w:val="00BD7BC2"/>
    <w:rsid w:val="00BE5568"/>
    <w:rsid w:val="00C23A22"/>
    <w:rsid w:val="00C23A7B"/>
    <w:rsid w:val="00C25874"/>
    <w:rsid w:val="00C33448"/>
    <w:rsid w:val="00C570A8"/>
    <w:rsid w:val="00C71C73"/>
    <w:rsid w:val="00C81F5F"/>
    <w:rsid w:val="00CB235E"/>
    <w:rsid w:val="00CB23DB"/>
    <w:rsid w:val="00CD29AC"/>
    <w:rsid w:val="00CD30B5"/>
    <w:rsid w:val="00CE3FE5"/>
    <w:rsid w:val="00CF4ABB"/>
    <w:rsid w:val="00D066E0"/>
    <w:rsid w:val="00D7082D"/>
    <w:rsid w:val="00D77B2A"/>
    <w:rsid w:val="00D843F1"/>
    <w:rsid w:val="00D87552"/>
    <w:rsid w:val="00DB469D"/>
    <w:rsid w:val="00DE46F4"/>
    <w:rsid w:val="00DE62C3"/>
    <w:rsid w:val="00DF09CE"/>
    <w:rsid w:val="00E060A8"/>
    <w:rsid w:val="00E104B5"/>
    <w:rsid w:val="00E163EB"/>
    <w:rsid w:val="00E172C0"/>
    <w:rsid w:val="00E45F2D"/>
    <w:rsid w:val="00E977E2"/>
    <w:rsid w:val="00EA6B91"/>
    <w:rsid w:val="00EB2869"/>
    <w:rsid w:val="00EC21DB"/>
    <w:rsid w:val="00EC7A34"/>
    <w:rsid w:val="00F1502C"/>
    <w:rsid w:val="00F21492"/>
    <w:rsid w:val="00F465F7"/>
    <w:rsid w:val="00F54173"/>
    <w:rsid w:val="00F5572F"/>
    <w:rsid w:val="00F7481C"/>
    <w:rsid w:val="00F8137B"/>
    <w:rsid w:val="00FC5386"/>
    <w:rsid w:val="00FE1491"/>
    <w:rsid w:val="00FE1CD7"/>
    <w:rsid w:val="00FE271A"/>
    <w:rsid w:val="00FF64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F13146"/>
  <w15:chartTrackingRefBased/>
  <w15:docId w15:val="{969CAF6C-D119-4E0A-8A35-5E60B919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377"/>
    <w:pPr>
      <w:tabs>
        <w:tab w:val="left" w:pos="426"/>
      </w:tabs>
      <w:spacing w:after="120" w:line="240" w:lineRule="auto"/>
      <w:jc w:val="both"/>
      <w:outlineLvl w:val="0"/>
    </w:pPr>
    <w:rPr>
      <w:b/>
      <w:sz w:val="28"/>
      <w:szCs w:val="28"/>
    </w:rPr>
  </w:style>
  <w:style w:type="paragraph" w:styleId="Heading2">
    <w:name w:val="heading 2"/>
    <w:basedOn w:val="Heading1"/>
    <w:next w:val="Normal"/>
    <w:link w:val="Heading2Char"/>
    <w:uiPriority w:val="9"/>
    <w:unhideWhenUsed/>
    <w:qFormat/>
    <w:rsid w:val="00651377"/>
    <w:pPr>
      <w:numPr>
        <w:ilvl w:val="1"/>
        <w:numId w:val="5"/>
      </w:numPr>
      <w:outlineLvl w:val="1"/>
    </w:pPr>
    <w:rPr>
      <w:b w:val="0"/>
      <w:sz w:val="22"/>
    </w:rPr>
  </w:style>
  <w:style w:type="paragraph" w:styleId="Heading3">
    <w:name w:val="heading 3"/>
    <w:basedOn w:val="Normal"/>
    <w:next w:val="Normal"/>
    <w:link w:val="Heading3Char"/>
    <w:uiPriority w:val="9"/>
    <w:semiHidden/>
    <w:unhideWhenUsed/>
    <w:qFormat/>
    <w:rsid w:val="00651377"/>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51377"/>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377"/>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377"/>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51377"/>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5137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137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377"/>
    <w:rPr>
      <w:b/>
      <w:sz w:val="28"/>
      <w:szCs w:val="28"/>
    </w:rPr>
  </w:style>
  <w:style w:type="paragraph" w:styleId="Header">
    <w:name w:val="header"/>
    <w:basedOn w:val="Normal"/>
    <w:link w:val="HeaderChar"/>
    <w:uiPriority w:val="99"/>
    <w:unhideWhenUsed/>
    <w:rsid w:val="00D87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552"/>
  </w:style>
  <w:style w:type="paragraph" w:styleId="Footer">
    <w:name w:val="footer"/>
    <w:basedOn w:val="Normal"/>
    <w:link w:val="FooterChar"/>
    <w:uiPriority w:val="99"/>
    <w:unhideWhenUsed/>
    <w:rsid w:val="00D87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52"/>
  </w:style>
  <w:style w:type="table" w:styleId="TableGrid">
    <w:name w:val="Table Grid"/>
    <w:basedOn w:val="TableNormal"/>
    <w:uiPriority w:val="39"/>
    <w:rsid w:val="00D8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521AED"/>
  </w:style>
  <w:style w:type="paragraph" w:styleId="ListParagraph">
    <w:name w:val="List Paragraph"/>
    <w:basedOn w:val="Normal"/>
    <w:link w:val="ListParagraphChar"/>
    <w:uiPriority w:val="1"/>
    <w:qFormat/>
    <w:rsid w:val="002071D0"/>
    <w:pPr>
      <w:ind w:left="720"/>
      <w:contextualSpacing/>
    </w:pPr>
  </w:style>
  <w:style w:type="paragraph" w:customStyle="1" w:styleId="Default">
    <w:name w:val="Default"/>
    <w:rsid w:val="00AE7ABE"/>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651377"/>
    <w:rPr>
      <w:szCs w:val="28"/>
    </w:rPr>
  </w:style>
  <w:style w:type="character" w:customStyle="1" w:styleId="Heading3Char">
    <w:name w:val="Heading 3 Char"/>
    <w:basedOn w:val="DefaultParagraphFont"/>
    <w:link w:val="Heading3"/>
    <w:uiPriority w:val="9"/>
    <w:semiHidden/>
    <w:rsid w:val="0065137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513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5137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5137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5137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513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137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023BBE"/>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23BBE"/>
    <w:rPr>
      <w:rFonts w:ascii="Arial" w:eastAsia="Arial" w:hAnsi="Arial" w:cs="Arial"/>
      <w:sz w:val="24"/>
      <w:szCs w:val="24"/>
      <w:lang w:val="en-US"/>
    </w:rPr>
  </w:style>
  <w:style w:type="character" w:customStyle="1" w:styleId="ListParagraphChar">
    <w:name w:val="List Paragraph Char"/>
    <w:link w:val="ListParagraph"/>
    <w:uiPriority w:val="1"/>
    <w:locked/>
    <w:rsid w:val="00A5337E"/>
  </w:style>
  <w:style w:type="character" w:styleId="Hyperlink">
    <w:name w:val="Hyperlink"/>
    <w:basedOn w:val="DefaultParagraphFont"/>
    <w:uiPriority w:val="99"/>
    <w:unhideWhenUsed/>
    <w:rsid w:val="00A53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3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p.alberta.ca/++documents/Acts/p19p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p.alberta.ca/++documents/Acts/p19p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7f382a3-7e5c-4a56-937d-2cf2099ea640">EPD3S3JM43C7-382-561</_dlc_DocId>
    <_dlc_DocIdUrl xmlns="47f382a3-7e5c-4a56-937d-2cf2099ea640">
      <Url>http://connect.keyano.ca/president/_layouts/15/DocIdRedir.aspx?ID=EPD3S3JM43C7-382-561</Url>
      <Description>EPD3S3JM43C7-382-561</Description>
    </_dlc_DocIdUrl>
    <New_x0020_Flag xmlns="932f589a-f192-43a4-8ab7-391d7a381ab0" xsi:nil="true"/>
    <Effective_x0020_Date xmlns="231e063e-7c60-417b-8352-1fd10bf5fcff">2019-08-15T06:00:00+00:00</Effective_x0020_Date>
    <Category xmlns="231e063e-7c60-417b-8352-1fd10bf5fcff">Student and Academic Support Services</Category>
    <Short_x0020_Description xmlns="231e063e-7c60-417b-8352-1fd10bf5fcff" xsi:nil="true"/>
    <Policy_x0020_Number xmlns="231e063e-7c60-417b-8352-1fd10bf5fcff"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B3D5056A621B546A9CBA7825617C7D2" ma:contentTypeVersion="8" ma:contentTypeDescription="Create a new document." ma:contentTypeScope="" ma:versionID="2cd61879ba0fb36cfb18dea21ebf8611">
  <xsd:schema xmlns:xsd="http://www.w3.org/2001/XMLSchema" xmlns:xs="http://www.w3.org/2001/XMLSchema" xmlns:p="http://schemas.microsoft.com/office/2006/metadata/properties" xmlns:ns2="231e063e-7c60-417b-8352-1fd10bf5fcff" xmlns:ns3="47f382a3-7e5c-4a56-937d-2cf2099ea640" xmlns:ns4="932f589a-f192-43a4-8ab7-391d7a381ab0" targetNamespace="http://schemas.microsoft.com/office/2006/metadata/properties" ma:root="true" ma:fieldsID="0a71a0c32d45db83234a96dc59766f7b" ns2:_="" ns3:_="" ns4:_="">
    <xsd:import namespace="231e063e-7c60-417b-8352-1fd10bf5fcff"/>
    <xsd:import namespace="47f382a3-7e5c-4a56-937d-2cf2099ea640"/>
    <xsd:import namespace="932f589a-f192-43a4-8ab7-391d7a381ab0"/>
    <xsd:element name="properties">
      <xsd:complexType>
        <xsd:sequence>
          <xsd:element name="documentManagement">
            <xsd:complexType>
              <xsd:all>
                <xsd:element ref="ns2:Policy_x0020_Number" minOccurs="0"/>
                <xsd:element ref="ns2:Category"/>
                <xsd:element ref="ns2:Effective_x0020_Date"/>
                <xsd:element ref="ns3:_dlc_DocId" minOccurs="0"/>
                <xsd:element ref="ns3:_dlc_DocIdUrl" minOccurs="0"/>
                <xsd:element ref="ns3:_dlc_DocIdPersistId" minOccurs="0"/>
                <xsd:element ref="ns2:Short_x0020_Description" minOccurs="0"/>
                <xsd:element ref="ns4:New_x0020_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e063e-7c60-417b-8352-1fd10bf5fcff" elementFormDefault="qualified">
    <xsd:import namespace="http://schemas.microsoft.com/office/2006/documentManagement/types"/>
    <xsd:import namespace="http://schemas.microsoft.com/office/infopath/2007/PartnerControls"/>
    <xsd:element name="Policy_x0020_Number" ma:index="1" nillable="true" ma:displayName="Policy Number" ma:description="Optional (Ignore if not required)" ma:internalName="Policy_x0020_Number">
      <xsd:simpleType>
        <xsd:restriction base="dms:Text">
          <xsd:maxLength value="10"/>
        </xsd:restriction>
      </xsd:simpleType>
    </xsd:element>
    <xsd:element name="Category" ma:index="3" ma:displayName="Policy Category" ma:default="Board and Governance" ma:format="Dropdown" ma:internalName="Category">
      <xsd:simpleType>
        <xsd:restriction base="dms:Choice">
          <xsd:enumeration value="Board and Governance"/>
          <xsd:enumeration value="Facilities &amp; Asset Management"/>
          <xsd:enumeration value="Student and Academic Support Services"/>
          <xsd:enumeration value="Human Resources, Health &amp; Safety"/>
          <xsd:enumeration value="Information Technology &amp; Management"/>
          <xsd:enumeration value="Finance"/>
          <xsd:enumeration value="Community Relations"/>
          <xsd:enumeration value="Office of the President"/>
        </xsd:restriction>
      </xsd:simpleType>
    </xsd:element>
    <xsd:element name="Effective_x0020_Date" ma:index="4" ma:displayName="Effective Date" ma:default="[today]" ma:description="" ma:format="DateOnly" ma:internalName="Effective_x0020_Date">
      <xsd:simpleType>
        <xsd:restriction base="dms:DateTime"/>
      </xsd:simpleType>
    </xsd:element>
    <xsd:element name="Short_x0020_Description" ma:index="14" nillable="true" ma:displayName="Short Description" ma:internalName="Short_x0020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f382a3-7e5c-4a56-937d-2cf2099ea64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2f589a-f192-43a4-8ab7-391d7a381ab0" elementFormDefault="qualified">
    <xsd:import namespace="http://schemas.microsoft.com/office/2006/documentManagement/types"/>
    <xsd:import namespace="http://schemas.microsoft.com/office/infopath/2007/PartnerControls"/>
    <xsd:element name="New_x0020_Flag" ma:index="15" nillable="true" ma:displayName="New Flag" ma:default="*NEW*" ma:description="New Flag will auto-update. Ignore when  uploading new policies." ma:format="Dropdown" ma:internalName="New_x0020_Flag">
      <xsd:simpleType>
        <xsd:restriction base="dms:Choice">
          <xsd:enumeration value="*N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A1B1F-FB17-4AF3-88CF-1BDE9E9628B7}"/>
</file>

<file path=customXml/itemProps2.xml><?xml version="1.0" encoding="utf-8"?>
<ds:datastoreItem xmlns:ds="http://schemas.openxmlformats.org/officeDocument/2006/customXml" ds:itemID="{D9886980-5D96-40E3-807A-F5A957BA6CEB}"/>
</file>

<file path=customXml/itemProps3.xml><?xml version="1.0" encoding="utf-8"?>
<ds:datastoreItem xmlns:ds="http://schemas.openxmlformats.org/officeDocument/2006/customXml" ds:itemID="{9E569B45-C1AD-40CD-963B-93130FD8D3C5}"/>
</file>

<file path=customXml/itemProps4.xml><?xml version="1.0" encoding="utf-8"?>
<ds:datastoreItem xmlns:ds="http://schemas.openxmlformats.org/officeDocument/2006/customXml" ds:itemID="{4BACE4E4-D8E0-4B72-840E-766B552B2B3A}"/>
</file>

<file path=customXml/itemProps5.xml><?xml version="1.0" encoding="utf-8"?>
<ds:datastoreItem xmlns:ds="http://schemas.openxmlformats.org/officeDocument/2006/customXml" ds:itemID="{294F5D00-B84E-40C7-9FA1-9373346D51B9}"/>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Policy Development Template</vt:lpstr>
    </vt:vector>
  </TitlesOfParts>
  <Company>Keyano College</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Development Template</dc:title>
  <dc:subject/>
  <dc:creator>Louisa Khalil</dc:creator>
  <cp:keywords/>
  <dc:description/>
  <cp:lastModifiedBy>Judy Best</cp:lastModifiedBy>
  <cp:revision>2</cp:revision>
  <dcterms:created xsi:type="dcterms:W3CDTF">2020-02-25T16:49:00Z</dcterms:created>
  <dcterms:modified xsi:type="dcterms:W3CDTF">2020-02-25T16:49:00Z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0x0101002B3D5056A621B546A9CBA7825617C7D2</vt:lpwstr>
  </property>
  <property fmtid="{D5CDD505-2E9C-101B-9397-08002B2CF9AE}" pid="3" name="_dlc_DocIdItemGuid">
    <vt:lpwstr>002be328-0771-4f3f-ad9f-b2afa46d4aa4</vt:lpwstr>
  </property>
  <property fmtid="{D5CDD505-2E9C-101B-9397-08002B2CF9AE}" pid="4" name="WorkflowChangePath">
    <vt:lpwstr>93cbf8f4-d13b-4954-97c4-2c0883504b01,6;93cbf8f4-d13b-4954-97c4-2c0883504b01,8;93cbf8f4-d13b-4954-97c4-2c0883504b01,10;</vt:lpwstr>
  </property>
</Properties>
</file>